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71" w:rsidRDefault="00B87D71" w:rsidP="00B87D71">
      <w:pPr>
        <w:widowControl w:val="0"/>
        <w:tabs>
          <w:tab w:val="center" w:pos="4818"/>
        </w:tabs>
        <w:rPr>
          <w:b/>
          <w:snapToGrid w:val="0"/>
          <w:color w:val="000000"/>
          <w:sz w:val="22"/>
          <w:szCs w:val="22"/>
          <w:lang w:val="en-AU"/>
        </w:rPr>
      </w:pPr>
    </w:p>
    <w:p w:rsidR="00195342" w:rsidRDefault="00195342" w:rsidP="00195342">
      <w:pPr>
        <w:widowControl w:val="0"/>
        <w:tabs>
          <w:tab w:val="center" w:pos="481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lang w:val="en-AU"/>
        </w:rPr>
        <w:t xml:space="preserve">Table </w:t>
      </w:r>
      <w:proofErr w:type="gramStart"/>
      <w:r>
        <w:rPr>
          <w:rFonts w:ascii="Arial" w:hAnsi="Arial" w:cs="Arial"/>
          <w:b/>
          <w:snapToGrid w:val="0"/>
          <w:color w:val="000000"/>
          <w:sz w:val="22"/>
          <w:szCs w:val="22"/>
          <w:lang w:val="en-AU"/>
        </w:rPr>
        <w:t>A</w:t>
      </w:r>
      <w:proofErr w:type="gramEnd"/>
      <w:r>
        <w:rPr>
          <w:rFonts w:ascii="Arial" w:hAnsi="Arial" w:cs="Arial"/>
          <w:b/>
          <w:snapToGrid w:val="0"/>
          <w:color w:val="000000"/>
          <w:sz w:val="22"/>
          <w:szCs w:val="22"/>
          <w:lang w:val="en-AU"/>
        </w:rPr>
        <w:t xml:space="preserve"> - Economic</w:t>
      </w:r>
      <w:r w:rsidRPr="00377299">
        <w:rPr>
          <w:rFonts w:ascii="Arial" w:hAnsi="Arial" w:cs="Arial"/>
          <w:b/>
          <w:snapToGrid w:val="0"/>
          <w:color w:val="000000"/>
          <w:sz w:val="22"/>
          <w:szCs w:val="22"/>
          <w:lang w:val="en-AU"/>
        </w:rPr>
        <w:t xml:space="preserve"> </w:t>
      </w:r>
      <w:r w:rsidRPr="00377299">
        <w:rPr>
          <w:rFonts w:ascii="Arial" w:hAnsi="Arial" w:cs="Arial"/>
          <w:b/>
          <w:sz w:val="22"/>
          <w:szCs w:val="22"/>
        </w:rPr>
        <w:t xml:space="preserve">classification of statement of </w:t>
      </w:r>
      <w:r>
        <w:rPr>
          <w:rFonts w:ascii="Arial" w:hAnsi="Arial" w:cs="Arial"/>
          <w:b/>
          <w:sz w:val="22"/>
          <w:szCs w:val="22"/>
        </w:rPr>
        <w:t>government operations</w:t>
      </w:r>
      <w:r w:rsidRPr="00377299">
        <w:rPr>
          <w:rFonts w:ascii="Arial" w:hAnsi="Arial" w:cs="Arial"/>
          <w:b/>
          <w:sz w:val="22"/>
          <w:szCs w:val="22"/>
        </w:rPr>
        <w:t xml:space="preserve"> of </w:t>
      </w:r>
      <w:r>
        <w:rPr>
          <w:rFonts w:ascii="Arial" w:hAnsi="Arial" w:cs="Arial"/>
          <w:b/>
          <w:sz w:val="22"/>
          <w:szCs w:val="22"/>
        </w:rPr>
        <w:t xml:space="preserve">higher education </w:t>
      </w:r>
    </w:p>
    <w:p w:rsidR="00195342" w:rsidRPr="00377299" w:rsidRDefault="00195342" w:rsidP="00195342">
      <w:pPr>
        <w:widowControl w:val="0"/>
        <w:tabs>
          <w:tab w:val="center" w:pos="4818"/>
        </w:tabs>
        <w:rPr>
          <w:rFonts w:ascii="Arial" w:hAnsi="Arial" w:cs="Arial"/>
          <w:b/>
          <w:snapToGrid w:val="0"/>
          <w:color w:val="000000"/>
          <w:sz w:val="22"/>
          <w:szCs w:val="22"/>
          <w:vertAlign w:val="superscript"/>
          <w:lang w:val="en-AU"/>
        </w:rPr>
      </w:pPr>
      <w:r>
        <w:rPr>
          <w:rFonts w:ascii="Arial" w:hAnsi="Arial" w:cs="Arial"/>
          <w:b/>
          <w:sz w:val="22"/>
          <w:szCs w:val="22"/>
        </w:rPr>
        <w:t xml:space="preserve"> Institution for the 2010</w:t>
      </w:r>
      <w:r w:rsidRPr="00377299">
        <w:rPr>
          <w:rFonts w:ascii="Arial" w:hAnsi="Arial" w:cs="Arial"/>
          <w:b/>
          <w:sz w:val="22"/>
          <w:szCs w:val="22"/>
        </w:rPr>
        <w:t xml:space="preserve"> and </w:t>
      </w:r>
      <w:r>
        <w:rPr>
          <w:rFonts w:ascii="Arial" w:hAnsi="Arial" w:cs="Arial"/>
          <w:b/>
          <w:sz w:val="22"/>
          <w:szCs w:val="22"/>
        </w:rPr>
        <w:t>2011 financial</w:t>
      </w:r>
      <w:r w:rsidRPr="00377299">
        <w:rPr>
          <w:rFonts w:ascii="Arial" w:hAnsi="Arial" w:cs="Arial"/>
          <w:b/>
          <w:sz w:val="22"/>
          <w:szCs w:val="22"/>
        </w:rPr>
        <w:t xml:space="preserve"> years (Summary)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77299">
        <w:rPr>
          <w:rFonts w:ascii="Arial" w:hAnsi="Arial" w:cs="Arial"/>
          <w:b/>
          <w:snapToGrid w:val="0"/>
          <w:color w:val="000000"/>
          <w:sz w:val="22"/>
          <w:szCs w:val="22"/>
          <w:vertAlign w:val="superscript"/>
          <w:lang w:val="en-AU"/>
        </w:rPr>
        <w:t>1</w:t>
      </w:r>
    </w:p>
    <w:tbl>
      <w:tblPr>
        <w:tblW w:w="101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51"/>
        <w:gridCol w:w="5406"/>
        <w:gridCol w:w="1433"/>
        <w:gridCol w:w="1270"/>
        <w:gridCol w:w="1261"/>
      </w:tblGrid>
      <w:tr w:rsidR="00195342" w:rsidRPr="00377299" w:rsidTr="00E55B5E">
        <w:trPr>
          <w:cantSplit/>
          <w:trHeight w:val="654"/>
        </w:trPr>
        <w:tc>
          <w:tcPr>
            <w:tcW w:w="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2F48" w:rsidRDefault="00FF2F48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bookmarkStart w:id="0" w:name="OLE_LINK5"/>
            <w:bookmarkStart w:id="1" w:name="OLE_LINK8"/>
          </w:p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GFS</w:t>
            </w:r>
          </w:p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2001</w:t>
            </w: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 codes</w:t>
            </w:r>
          </w:p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95342" w:rsidRDefault="00195342" w:rsidP="00E55B5E">
            <w:pP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Economic classification of </w:t>
            </w: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statement of government operations</w:t>
            </w: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12"/>
                <w:szCs w:val="12"/>
                <w:lang w:val="en-AU"/>
              </w:rPr>
            </w:pPr>
          </w:p>
          <w:p w:rsidR="00FF2F48" w:rsidRDefault="00FF2F48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12"/>
                <w:szCs w:val="12"/>
                <w:lang w:val="en-AU"/>
              </w:rPr>
            </w:pPr>
          </w:p>
          <w:p w:rsidR="00FF2F48" w:rsidRDefault="00FF2F48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FF2F48" w:rsidRPr="00377299" w:rsidRDefault="00FF2F48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2010</w:t>
            </w:r>
          </w:p>
        </w:tc>
        <w:tc>
          <w:tcPr>
            <w:tcW w:w="12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2011</w:t>
            </w:r>
          </w:p>
        </w:tc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D364C1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Change between </w:t>
            </w: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2010</w:t>
            </w:r>
            <w:r w:rsidRPr="00D364C1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 </w:t>
            </w:r>
          </w:p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D364C1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and </w:t>
            </w:r>
          </w:p>
          <w:p w:rsidR="00195342" w:rsidRPr="00D364C1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2011</w:t>
            </w:r>
          </w:p>
        </w:tc>
      </w:tr>
      <w:tr w:rsidR="00195342" w:rsidRPr="00377299" w:rsidTr="00E55B5E">
        <w:trPr>
          <w:cantSplit/>
          <w:trHeight w:val="88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R million</w:t>
            </w:r>
          </w:p>
        </w:tc>
        <w:tc>
          <w:tcPr>
            <w:tcW w:w="12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R million</w:t>
            </w:r>
          </w:p>
        </w:tc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377299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R million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top w:val="single" w:sz="8" w:space="0" w:color="auto"/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OLE_LINK13"/>
            <w:bookmarkStart w:id="3" w:name="OLE_LINK14"/>
            <w:bookmarkStart w:id="4" w:name="OLE_LINK15"/>
          </w:p>
        </w:tc>
        <w:tc>
          <w:tcPr>
            <w:tcW w:w="54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Transactions affecting net worth</w:t>
            </w:r>
            <w:r w:rsidRPr="00377299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33" w:type="dxa"/>
            <w:tcBorders>
              <w:top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  <w:tcBorders>
              <w:top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  <w:tcBorders>
              <w:top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Revenue:                                    </w:t>
            </w:r>
            <w:r w:rsidRPr="00BB2BAB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                                    </w:t>
            </w:r>
            <w:r w:rsidR="00676442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 xml:space="preserve">   </w:t>
            </w: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a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40 353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43 991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3 638</w:t>
            </w:r>
          </w:p>
        </w:tc>
      </w:tr>
      <w:tr w:rsidR="00195342" w:rsidRPr="00377299" w:rsidTr="00E55B5E">
        <w:trPr>
          <w:trHeight w:val="207"/>
        </w:trPr>
        <w:tc>
          <w:tcPr>
            <w:tcW w:w="751" w:type="dxa"/>
            <w:tcBorders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bookmarkStart w:id="5" w:name="_Hlk201568177"/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11</w:t>
            </w:r>
          </w:p>
        </w:tc>
        <w:tc>
          <w:tcPr>
            <w:tcW w:w="540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Taxes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14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13</w:t>
            </w:r>
          </w:p>
        </w:tc>
      </w:tr>
      <w:bookmarkEnd w:id="5"/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12</w:t>
            </w: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13</w:t>
            </w: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14</w:t>
            </w:r>
          </w:p>
        </w:tc>
        <w:tc>
          <w:tcPr>
            <w:tcW w:w="540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377299" w:rsidRDefault="00195342" w:rsidP="00E55B5E">
            <w:pPr>
              <w:ind w:left="150" w:hanging="150"/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Social contributions</w:t>
            </w:r>
          </w:p>
          <w:p w:rsidR="00195342" w:rsidRPr="00377299" w:rsidRDefault="00195342" w:rsidP="00E55B5E">
            <w:pPr>
              <w:ind w:left="150" w:hanging="150"/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Grants</w:t>
            </w:r>
          </w:p>
          <w:p w:rsidR="00195342" w:rsidRPr="00377299" w:rsidRDefault="00195342" w:rsidP="00E55B5E">
            <w:pPr>
              <w:ind w:left="150" w:hanging="150"/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Other receipts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16 686</w:t>
            </w:r>
          </w:p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23 666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18 653</w:t>
            </w:r>
          </w:p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25 324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1 967</w:t>
            </w:r>
          </w:p>
          <w:p w:rsidR="00195342" w:rsidRPr="005E730F" w:rsidRDefault="00195342" w:rsidP="00E55B5E">
            <w:pPr>
              <w:tabs>
                <w:tab w:val="left" w:pos="1220"/>
              </w:tabs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1 658</w:t>
            </w:r>
            <w:r w:rsidRPr="005E730F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 xml:space="preserve">                         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  <w:t xml:space="preserve">Expense:                                         </w:t>
            </w:r>
            <w:r w:rsidRPr="00377299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 xml:space="preserve">          </w:t>
            </w: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 xml:space="preserve">  </w:t>
            </w:r>
            <w:r w:rsidRPr="00377299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 xml:space="preserve">                 </w:t>
            </w:r>
            <w:r w:rsidR="00676442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 xml:space="preserve">   </w:t>
            </w: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 xml:space="preserve">  </w:t>
            </w:r>
            <w:r w:rsidRPr="00377299"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  <w:t>b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36 119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39 575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3 456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bottom w:val="nil"/>
              <w:right w:val="single" w:sz="8" w:space="0" w:color="auto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21</w:t>
            </w:r>
          </w:p>
        </w:tc>
        <w:tc>
          <w:tcPr>
            <w:tcW w:w="540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Compensation of employees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19 458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21 796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2 338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top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  <w:t>22</w:t>
            </w:r>
          </w:p>
        </w:tc>
        <w:tc>
          <w:tcPr>
            <w:tcW w:w="5406" w:type="dxa"/>
            <w:tcBorders>
              <w:top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Us</w:t>
            </w:r>
            <w:r w:rsidRPr="00377299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e of goods and services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12 739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13 301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562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top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  <w:t>23</w:t>
            </w:r>
          </w:p>
        </w:tc>
        <w:tc>
          <w:tcPr>
            <w:tcW w:w="5406" w:type="dxa"/>
            <w:tcBorders>
              <w:top w:val="nil"/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Consumption of fixed capital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1 466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1 669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203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24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Interest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436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502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66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tabs>
                <w:tab w:val="left" w:pos="520"/>
              </w:tabs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25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tabs>
                <w:tab w:val="left" w:pos="520"/>
              </w:tabs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Subsidies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tabs>
                <w:tab w:val="left" w:pos="520"/>
              </w:tabs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26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tabs>
                <w:tab w:val="left" w:pos="520"/>
              </w:tabs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Grants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tabs>
                <w:tab w:val="left" w:pos="520"/>
              </w:tabs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27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tabs>
                <w:tab w:val="left" w:pos="520"/>
              </w:tabs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 xml:space="preserve">Social benefits 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  <w:t>28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Other payments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 w:rsidRPr="005E730F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2</w:t>
            </w: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 020</w:t>
            </w: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2 307</w:t>
            </w: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  <w:t>287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94BE7" w:rsidRDefault="00195342" w:rsidP="00E55B5E">
            <w:pPr>
              <w:jc w:val="both"/>
              <w:rPr>
                <w:rFonts w:ascii="Arial" w:hAnsi="Arial" w:cs="Arial"/>
                <w:b/>
                <w:i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i/>
                <w:iCs/>
                <w:snapToGrid w:val="0"/>
                <w:color w:val="000000"/>
                <w:sz w:val="18"/>
                <w:szCs w:val="18"/>
                <w:lang w:val="en-AU"/>
              </w:rPr>
              <w:t xml:space="preserve">NET OPERATING BALANCE       </w:t>
            </w:r>
            <w:r w:rsidR="00676442">
              <w:rPr>
                <w:rFonts w:ascii="Arial" w:hAnsi="Arial" w:cs="Arial"/>
                <w:i/>
                <w:iCs/>
                <w:snapToGrid w:val="0"/>
                <w:color w:val="000000"/>
                <w:sz w:val="18"/>
                <w:szCs w:val="18"/>
                <w:lang w:val="en-AU"/>
              </w:rPr>
              <w:t xml:space="preserve">                             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sz w:val="18"/>
                <w:szCs w:val="18"/>
                <w:lang w:val="en-AU"/>
              </w:rPr>
              <w:t xml:space="preserve">   </w:t>
            </w:r>
            <w:r w:rsidRPr="00394BE7">
              <w:rPr>
                <w:rFonts w:ascii="Arial" w:hAnsi="Arial" w:cs="Arial"/>
                <w:i/>
                <w:iCs/>
                <w:snapToGrid w:val="0"/>
                <w:color w:val="000000"/>
                <w:sz w:val="18"/>
                <w:szCs w:val="18"/>
                <w:lang w:val="en-AU"/>
              </w:rPr>
              <w:t xml:space="preserve">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sz w:val="18"/>
                <w:szCs w:val="18"/>
                <w:lang w:val="en-AU"/>
              </w:rPr>
              <w:t xml:space="preserve">  </w:t>
            </w:r>
            <w:r w:rsidRPr="00AF74CF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</w:t>
            </w:r>
            <w:r w:rsidRPr="00AF74CF">
              <w:rPr>
                <w:rFonts w:ascii="Arial" w:hAnsi="Arial" w:cs="Arial"/>
                <w:b/>
                <w:iCs/>
                <w:snapToGrid w:val="0"/>
                <w:color w:val="000000"/>
                <w:sz w:val="20"/>
                <w:szCs w:val="20"/>
                <w:lang w:val="en-AU"/>
              </w:rPr>
              <w:t>(a-b)=c</w:t>
            </w: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>4 234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>4 416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>182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21"/>
                <w:szCs w:val="21"/>
                <w:lang w:val="en-AU"/>
              </w:rPr>
              <w:t>Transactions</w:t>
            </w:r>
            <w:r w:rsidRPr="00377299">
              <w:rPr>
                <w:rFonts w:ascii="Arial" w:hAnsi="Arial" w:cs="Arial"/>
                <w:b/>
                <w:bCs/>
                <w:snapToGrid w:val="0"/>
                <w:color w:val="000000"/>
                <w:sz w:val="21"/>
                <w:szCs w:val="21"/>
                <w:lang w:val="en-AU"/>
              </w:rPr>
              <w:t xml:space="preserve"> in non-financial assets</w:t>
            </w:r>
            <w:r w:rsidRPr="00377299"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  <w:t>: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tabs>
                <w:tab w:val="center" w:pos="591"/>
                <w:tab w:val="right" w:pos="1183"/>
              </w:tabs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tabs>
                <w:tab w:val="center" w:pos="591"/>
                <w:tab w:val="right" w:pos="1183"/>
              </w:tabs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tabs>
                <w:tab w:val="center" w:pos="591"/>
                <w:tab w:val="right" w:pos="1183"/>
              </w:tabs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noteTex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noteTex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 acquisition </w:t>
            </w:r>
            <w:r w:rsidRPr="00377299"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</w:rPr>
              <w:t> </w:t>
            </w:r>
            <w:r w:rsidRPr="00377299">
              <w:rPr>
                <w:rFonts w:ascii="Arial" w:hAnsi="Arial" w:cs="Arial"/>
              </w:rPr>
              <w:t>non-financial</w:t>
            </w:r>
            <w:r>
              <w:rPr>
                <w:rFonts w:ascii="Arial" w:hAnsi="Arial" w:cs="Arial"/>
              </w:rPr>
              <w:t> </w:t>
            </w:r>
            <w:r w:rsidRPr="00377299">
              <w:rPr>
                <w:rFonts w:ascii="Arial" w:hAnsi="Arial" w:cs="Arial"/>
              </w:rPr>
              <w:t>assets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vertAlign w:val="superscript"/>
                <w:lang w:val="en-AU"/>
              </w:rPr>
              <w:t>2</w:t>
            </w:r>
            <w:r w:rsidRPr="0037729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</w:t>
            </w:r>
            <w:r w:rsidRPr="00377299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 xml:space="preserve">  </w:t>
            </w:r>
            <w:r w:rsidRPr="0037729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  <w:r w:rsidR="00676442">
              <w:rPr>
                <w:rFonts w:ascii="Arial" w:hAnsi="Arial" w:cs="Arial"/>
              </w:rPr>
              <w:t xml:space="preserve"> </w:t>
            </w:r>
            <w:r w:rsidRPr="00377299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3 393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3 388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-5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z w:val="20"/>
                <w:szCs w:val="20"/>
                <w:lang w:val="en-AU"/>
              </w:rPr>
              <w:t>611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z w:val="20"/>
                <w:szCs w:val="20"/>
                <w:lang w:val="en-AU"/>
              </w:rPr>
              <w:t>Fixed assets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3 332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3 373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41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pStyle w:val="Heading5"/>
              <w:jc w:val="both"/>
              <w:rPr>
                <w:rFonts w:ascii="Arial" w:hAnsi="Arial" w:cs="Arial"/>
              </w:rPr>
            </w:pPr>
            <w:r w:rsidRPr="00377299">
              <w:rPr>
                <w:rFonts w:ascii="Arial" w:hAnsi="Arial" w:cs="Arial"/>
              </w:rPr>
              <w:t>612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pStyle w:val="Heading5"/>
              <w:jc w:val="both"/>
              <w:rPr>
                <w:rFonts w:ascii="Arial" w:hAnsi="Arial" w:cs="Arial"/>
                <w:b w:val="0"/>
              </w:rPr>
            </w:pPr>
            <w:r w:rsidRPr="00377299">
              <w:rPr>
                <w:rFonts w:ascii="Arial" w:hAnsi="Arial" w:cs="Arial"/>
                <w:b w:val="0"/>
              </w:rPr>
              <w:t>Inventories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61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10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-51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613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er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Cs/>
                <w:sz w:val="20"/>
                <w:szCs w:val="20"/>
                <w:lang w:val="en-AU"/>
              </w:rPr>
              <w:t>Valuables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5E730F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</w:tr>
      <w:tr w:rsidR="00195342" w:rsidRPr="00377299" w:rsidTr="00E55B5E">
        <w:trPr>
          <w:trHeight w:val="261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pStyle w:val="Heading5"/>
              <w:jc w:val="both"/>
              <w:rPr>
                <w:rFonts w:ascii="Arial" w:hAnsi="Arial" w:cs="Arial"/>
                <w:bCs/>
              </w:rPr>
            </w:pPr>
            <w:r w:rsidRPr="00377299">
              <w:rPr>
                <w:rFonts w:ascii="Arial" w:hAnsi="Arial" w:cs="Arial"/>
                <w:bCs/>
              </w:rPr>
              <w:t>614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pStyle w:val="Heading5"/>
              <w:jc w:val="both"/>
              <w:rPr>
                <w:rFonts w:ascii="Arial" w:hAnsi="Arial" w:cs="Arial"/>
                <w:b w:val="0"/>
                <w:bCs/>
              </w:rPr>
            </w:pPr>
            <w:r w:rsidRPr="00377299">
              <w:rPr>
                <w:rFonts w:ascii="Arial" w:hAnsi="Arial" w:cs="Arial"/>
                <w:b w:val="0"/>
                <w:bCs/>
              </w:rPr>
              <w:t>Non-produced assets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5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5</w:t>
            </w: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NET LENDING (+)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vertAlign w:val="superscript"/>
                <w:lang w:val="en-AU"/>
              </w:rPr>
              <w:t xml:space="preserve">3    </w:t>
            </w:r>
            <w:r w:rsidRPr="00377299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</w:t>
            </w:r>
            <w:r w:rsidRPr="00377299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      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                               </w:t>
            </w:r>
            <w:r w:rsidRPr="00377299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 </w:t>
            </w:r>
            <w:r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</w:t>
            </w:r>
            <w:r w:rsidR="00676442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lang w:val="en-AU"/>
              </w:rPr>
              <w:t xml:space="preserve">  </w:t>
            </w:r>
            <w:r>
              <w:rPr>
                <w:rFonts w:ascii="Arial" w:hAnsi="Arial" w:cs="Arial"/>
                <w:b/>
                <w:iCs/>
                <w:snapToGrid w:val="0"/>
                <w:color w:val="000000"/>
                <w:sz w:val="20"/>
                <w:szCs w:val="20"/>
                <w:lang w:val="en-AU"/>
              </w:rPr>
              <w:t>(c</w:t>
            </w:r>
            <w:r w:rsidRPr="00377299">
              <w:rPr>
                <w:rFonts w:ascii="Arial" w:hAnsi="Arial" w:cs="Arial"/>
                <w:b/>
                <w:iCs/>
                <w:snapToGrid w:val="0"/>
                <w:color w:val="000000"/>
                <w:sz w:val="20"/>
                <w:szCs w:val="20"/>
                <w:lang w:val="en-AU"/>
              </w:rPr>
              <w:t>-d)=</w:t>
            </w:r>
            <w:r>
              <w:rPr>
                <w:rFonts w:ascii="Arial" w:hAnsi="Arial" w:cs="Arial"/>
                <w:b/>
                <w:iCs/>
                <w:snapToGrid w:val="0"/>
                <w:color w:val="000000"/>
                <w:sz w:val="20"/>
                <w:szCs w:val="20"/>
                <w:lang w:val="en-AU"/>
              </w:rPr>
              <w:t>e</w:t>
            </w: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841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1 028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21"/>
                <w:szCs w:val="21"/>
                <w:lang w:val="en-AU"/>
              </w:rPr>
              <w:t>Transactions in financial assets and liabilities</w:t>
            </w:r>
            <w:r w:rsidRPr="00377299">
              <w:rPr>
                <w:rFonts w:ascii="Arial" w:hAnsi="Arial" w:cs="Arial"/>
                <w:b/>
                <w:bCs/>
                <w:snapToGrid w:val="0"/>
                <w:color w:val="000000"/>
                <w:sz w:val="20"/>
                <w:szCs w:val="20"/>
                <w:lang w:val="en-AU"/>
              </w:rPr>
              <w:t>: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32</w:t>
            </w: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321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Net acquisition of financial assets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 xml:space="preserve">:                                </w:t>
            </w:r>
            <w:r w:rsidR="00676442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 xml:space="preserve">  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 xml:space="preserve">    </w:t>
            </w: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f</w:t>
            </w:r>
          </w:p>
          <w:p w:rsidR="00195342" w:rsidRPr="00FB1BB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FB1BB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Domestic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3 247</w:t>
            </w: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3 397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3 643</w:t>
            </w: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2 773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322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Foreign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-150 *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870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noteTex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pStyle w:val="FootnoteTex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Net incurrence of liabilities:                           </w:t>
            </w:r>
            <w:r w:rsidRPr="00377299">
              <w:rPr>
                <w:rFonts w:ascii="Arial" w:hAnsi="Arial" w:cs="Arial"/>
              </w:rPr>
              <w:t xml:space="preserve">             </w:t>
            </w:r>
            <w:r w:rsidR="00676442">
              <w:rPr>
                <w:rFonts w:ascii="Arial" w:hAnsi="Arial" w:cs="Arial"/>
              </w:rPr>
              <w:t xml:space="preserve"> </w:t>
            </w:r>
            <w:r w:rsidRPr="0037729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r w:rsidRPr="0037729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r w:rsidR="00676442">
              <w:rPr>
                <w:rFonts w:ascii="Arial" w:hAnsi="Arial" w:cs="Arial"/>
              </w:rPr>
              <w:t xml:space="preserve">  </w:t>
            </w:r>
            <w:r w:rsidRPr="00627DA1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2 407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2 615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331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Domestic</w:t>
            </w: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2 407</w:t>
            </w: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2 615</w:t>
            </w: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tr w:rsidR="00195342" w:rsidRPr="00377299" w:rsidTr="00E55B5E">
        <w:trPr>
          <w:trHeight w:val="233"/>
        </w:trPr>
        <w:tc>
          <w:tcPr>
            <w:tcW w:w="751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  <w:lang w:val="en-AU"/>
              </w:rPr>
              <w:t>332</w:t>
            </w:r>
          </w:p>
        </w:tc>
        <w:tc>
          <w:tcPr>
            <w:tcW w:w="5406" w:type="dxa"/>
            <w:tcBorders>
              <w:right w:val="nil"/>
            </w:tcBorders>
          </w:tcPr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377299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Foreign</w:t>
            </w:r>
          </w:p>
          <w:p w:rsidR="00195342" w:rsidRPr="00377299" w:rsidRDefault="00195342" w:rsidP="00E55B5E">
            <w:pPr>
              <w:jc w:val="both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33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5E730F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0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  <w:r w:rsidRPr="005E730F"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  <w:t>0</w:t>
            </w: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61" w:type="dxa"/>
          </w:tcPr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  <w:p w:rsidR="00195342" w:rsidRPr="005E730F" w:rsidRDefault="00195342" w:rsidP="00E55B5E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  <w:bookmarkEnd w:id="0"/>
      <w:bookmarkEnd w:id="1"/>
      <w:bookmarkEnd w:id="2"/>
      <w:bookmarkEnd w:id="3"/>
      <w:bookmarkEnd w:id="4"/>
    </w:tbl>
    <w:p w:rsidR="00195342" w:rsidRDefault="00195342" w:rsidP="00195342">
      <w:pPr>
        <w:tabs>
          <w:tab w:val="left" w:pos="3402"/>
          <w:tab w:val="left" w:pos="3969"/>
          <w:tab w:val="left" w:pos="4820"/>
        </w:tabs>
        <w:ind w:right="1049"/>
        <w:jc w:val="both"/>
        <w:rPr>
          <w:rFonts w:ascii="Arial" w:hAnsi="Arial" w:cs="Arial"/>
          <w:b/>
          <w:snapToGrid w:val="0"/>
          <w:color w:val="000000"/>
          <w:sz w:val="20"/>
          <w:szCs w:val="20"/>
          <w:vertAlign w:val="superscript"/>
          <w:lang w:val="en-AU"/>
        </w:rPr>
      </w:pPr>
    </w:p>
    <w:p w:rsidR="00195342" w:rsidRDefault="00195342" w:rsidP="00195342">
      <w:pPr>
        <w:tabs>
          <w:tab w:val="left" w:pos="3402"/>
          <w:tab w:val="left" w:pos="3969"/>
          <w:tab w:val="left" w:pos="4820"/>
        </w:tabs>
        <w:ind w:right="1049"/>
        <w:jc w:val="both"/>
        <w:rPr>
          <w:rFonts w:ascii="Arial" w:hAnsi="Arial" w:cs="Arial"/>
          <w:snapToGrid w:val="0"/>
          <w:color w:val="000000"/>
          <w:sz w:val="20"/>
          <w:szCs w:val="20"/>
          <w:lang w:val="en-AU"/>
        </w:rPr>
      </w:pPr>
      <w:r w:rsidRPr="00626056">
        <w:rPr>
          <w:rFonts w:ascii="Arial" w:hAnsi="Arial" w:cs="Arial"/>
          <w:b/>
          <w:snapToGrid w:val="0"/>
          <w:color w:val="000000"/>
          <w:sz w:val="20"/>
          <w:szCs w:val="20"/>
          <w:vertAlign w:val="superscript"/>
          <w:lang w:val="en-AU"/>
        </w:rPr>
        <w:t>1</w:t>
      </w:r>
      <w:r w:rsidRPr="00626056"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 xml:space="preserve"> The sum of the data may not necessarily add up to totals due to rounding-off of figures.</w:t>
      </w:r>
    </w:p>
    <w:p w:rsidR="00195342" w:rsidRDefault="00195342" w:rsidP="00195342">
      <w:pPr>
        <w:tabs>
          <w:tab w:val="left" w:pos="3402"/>
          <w:tab w:val="left" w:pos="3969"/>
          <w:tab w:val="left" w:pos="4820"/>
        </w:tabs>
        <w:ind w:right="1049"/>
        <w:jc w:val="both"/>
        <w:rPr>
          <w:rFonts w:ascii="Arial" w:hAnsi="Arial" w:cs="Arial"/>
          <w:snapToGrid w:val="0"/>
          <w:color w:val="000000"/>
          <w:sz w:val="20"/>
          <w:szCs w:val="20"/>
          <w:lang w:val="en-AU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vertAlign w:val="superscript"/>
          <w:lang w:val="en-AU"/>
        </w:rPr>
        <w:t>2</w:t>
      </w:r>
      <w:r w:rsidRPr="00626056"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 xml:space="preserve"> </w:t>
      </w:r>
      <w:r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>Net acquisition of non-financial assets = acquisitions minus disposals and consumption of fixed capital</w:t>
      </w:r>
      <w:r w:rsidRPr="00626056"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>.</w:t>
      </w:r>
    </w:p>
    <w:p w:rsidR="00195342" w:rsidRDefault="00195342" w:rsidP="00195342">
      <w:pPr>
        <w:tabs>
          <w:tab w:val="left" w:pos="3402"/>
          <w:tab w:val="left" w:pos="3969"/>
          <w:tab w:val="left" w:pos="4820"/>
        </w:tabs>
        <w:ind w:right="1049"/>
        <w:jc w:val="both"/>
        <w:rPr>
          <w:rFonts w:ascii="Arial" w:hAnsi="Arial" w:cs="Arial"/>
          <w:snapToGrid w:val="0"/>
          <w:color w:val="000000"/>
          <w:sz w:val="20"/>
          <w:szCs w:val="20"/>
          <w:lang w:val="en-AU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vertAlign w:val="superscript"/>
          <w:lang w:val="en-AU"/>
        </w:rPr>
        <w:t>3</w:t>
      </w:r>
      <w:r w:rsidRPr="00626056"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 xml:space="preserve"> </w:t>
      </w:r>
      <w:r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 xml:space="preserve">Net lending (+)/ borrowing (-) equals the net operating balance minus the net acquisition of non-financial  </w:t>
      </w:r>
    </w:p>
    <w:p w:rsidR="00195342" w:rsidRDefault="00195342" w:rsidP="00195342">
      <w:pPr>
        <w:tabs>
          <w:tab w:val="left" w:pos="3402"/>
          <w:tab w:val="left" w:pos="3969"/>
          <w:tab w:val="left" w:pos="4820"/>
        </w:tabs>
        <w:ind w:right="1049"/>
        <w:jc w:val="both"/>
        <w:rPr>
          <w:rFonts w:ascii="Arial" w:hAnsi="Arial" w:cs="Arial"/>
          <w:snapToGrid w:val="0"/>
          <w:color w:val="000000"/>
          <w:sz w:val="20"/>
          <w:szCs w:val="20"/>
          <w:lang w:val="en-AU"/>
        </w:rPr>
      </w:pPr>
      <w:r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 xml:space="preserve">  </w:t>
      </w:r>
      <w:proofErr w:type="gramStart"/>
      <w:r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>assets</w:t>
      </w:r>
      <w:proofErr w:type="gramEnd"/>
      <w:r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>. It is also equal to the net acquisition of financial assets minus the net incurrence of liabilities</w:t>
      </w:r>
      <w:r w:rsidRPr="00626056">
        <w:rPr>
          <w:rFonts w:ascii="Arial" w:hAnsi="Arial" w:cs="Arial"/>
          <w:snapToGrid w:val="0"/>
          <w:color w:val="000000"/>
          <w:sz w:val="20"/>
          <w:szCs w:val="20"/>
          <w:lang w:val="en-AU"/>
        </w:rPr>
        <w:t>.</w:t>
      </w:r>
    </w:p>
    <w:p w:rsidR="00195342" w:rsidRDefault="00195342" w:rsidP="00195342">
      <w:pPr>
        <w:jc w:val="both"/>
        <w:rPr>
          <w:rFonts w:ascii="Arial" w:hAnsi="Arial" w:cs="Arial"/>
          <w:bCs/>
          <w:sz w:val="20"/>
          <w:szCs w:val="20"/>
        </w:rPr>
      </w:pPr>
      <w:r w:rsidRPr="00626056">
        <w:rPr>
          <w:rFonts w:ascii="Arial" w:hAnsi="Arial" w:cs="Arial"/>
          <w:bCs/>
          <w:sz w:val="20"/>
          <w:szCs w:val="20"/>
          <w:vertAlign w:val="superscript"/>
        </w:rPr>
        <w:t>*</w:t>
      </w:r>
      <w:r w:rsidRPr="00626056">
        <w:rPr>
          <w:rFonts w:ascii="Arial" w:hAnsi="Arial" w:cs="Arial"/>
          <w:bCs/>
          <w:sz w:val="20"/>
          <w:szCs w:val="20"/>
        </w:rPr>
        <w:t xml:space="preserve"> Revised since the previous publication. </w:t>
      </w:r>
    </w:p>
    <w:p w:rsidR="00B87D71" w:rsidRDefault="00B87D71" w:rsidP="00B87D71">
      <w:pPr>
        <w:widowControl w:val="0"/>
        <w:tabs>
          <w:tab w:val="center" w:pos="4818"/>
        </w:tabs>
        <w:rPr>
          <w:sz w:val="22"/>
        </w:rPr>
      </w:pPr>
    </w:p>
    <w:p w:rsidR="00533343" w:rsidRDefault="00533343" w:rsidP="00B87D71">
      <w:pPr>
        <w:widowControl w:val="0"/>
        <w:tabs>
          <w:tab w:val="center" w:pos="4818"/>
        </w:tabs>
        <w:rPr>
          <w:sz w:val="22"/>
        </w:rPr>
      </w:pPr>
    </w:p>
    <w:p w:rsidR="00195342" w:rsidRDefault="00195342" w:rsidP="00195342">
      <w:pPr>
        <w:widowControl w:val="0"/>
        <w:tabs>
          <w:tab w:val="center" w:pos="4818"/>
        </w:tabs>
        <w:jc w:val="right"/>
        <w:rPr>
          <w:sz w:val="22"/>
        </w:rPr>
      </w:pPr>
    </w:p>
    <w:p w:rsidR="00195342" w:rsidRPr="00B67013" w:rsidRDefault="00195342" w:rsidP="00B87D71">
      <w:pPr>
        <w:widowControl w:val="0"/>
        <w:tabs>
          <w:tab w:val="center" w:pos="4818"/>
        </w:tabs>
        <w:rPr>
          <w:sz w:val="22"/>
        </w:rPr>
      </w:pPr>
    </w:p>
    <w:p w:rsidR="00195342" w:rsidRPr="008A4604" w:rsidRDefault="00195342" w:rsidP="00195342">
      <w:pPr>
        <w:widowControl w:val="0"/>
        <w:tabs>
          <w:tab w:val="center" w:pos="4818"/>
        </w:tabs>
        <w:rPr>
          <w:rFonts w:ascii="Arial" w:hAnsi="Arial" w:cs="Arial"/>
          <w:b/>
          <w:sz w:val="22"/>
          <w:szCs w:val="22"/>
        </w:rPr>
      </w:pPr>
      <w:r w:rsidRPr="00195342">
        <w:rPr>
          <w:rFonts w:ascii="Arial" w:hAnsi="Arial" w:cs="Arial"/>
          <w:b/>
          <w:snapToGrid w:val="0"/>
          <w:color w:val="000000"/>
          <w:sz w:val="22"/>
          <w:szCs w:val="22"/>
          <w:lang w:val="en-AU"/>
        </w:rPr>
        <w:t>Table B – Economic</w:t>
      </w:r>
      <w:r w:rsidRPr="008A4604">
        <w:rPr>
          <w:rFonts w:ascii="Arial" w:hAnsi="Arial" w:cs="Arial"/>
          <w:b/>
          <w:snapToGrid w:val="0"/>
          <w:color w:val="000000"/>
          <w:sz w:val="22"/>
          <w:szCs w:val="22"/>
          <w:lang w:val="en-AU"/>
        </w:rPr>
        <w:t xml:space="preserve"> </w:t>
      </w:r>
      <w:r w:rsidRPr="008A4604">
        <w:rPr>
          <w:rFonts w:ascii="Arial" w:hAnsi="Arial" w:cs="Arial"/>
          <w:b/>
          <w:sz w:val="22"/>
          <w:szCs w:val="22"/>
        </w:rPr>
        <w:t xml:space="preserve">classification of statement of </w:t>
      </w:r>
      <w:r w:rsidRPr="008A4604">
        <w:rPr>
          <w:rFonts w:ascii="Arial" w:hAnsi="Arial" w:cs="Arial"/>
          <w:b/>
          <w:bCs/>
          <w:sz w:val="22"/>
          <w:szCs w:val="22"/>
        </w:rPr>
        <w:t>government operations</w:t>
      </w:r>
      <w:r w:rsidRPr="008A4604">
        <w:rPr>
          <w:rFonts w:ascii="Arial" w:hAnsi="Arial" w:cs="Arial"/>
          <w:b/>
          <w:sz w:val="22"/>
          <w:szCs w:val="22"/>
        </w:rPr>
        <w:t xml:space="preserve"> of transactions in non-financial assets of </w:t>
      </w:r>
      <w:r w:rsidRPr="008A4604">
        <w:rPr>
          <w:rFonts w:ascii="Arial" w:hAnsi="Arial" w:cs="Arial"/>
          <w:b/>
          <w:bCs/>
          <w:sz w:val="22"/>
          <w:szCs w:val="22"/>
          <w:lang w:val="en-US" w:eastAsia="en-US"/>
        </w:rPr>
        <w:t xml:space="preserve">higher education institutions for the </w:t>
      </w:r>
      <w:r w:rsidRPr="008A4604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1</w:t>
      </w:r>
      <w:r w:rsidRPr="008A4604">
        <w:rPr>
          <w:rFonts w:ascii="Arial" w:hAnsi="Arial" w:cs="Arial"/>
          <w:b/>
          <w:sz w:val="22"/>
          <w:szCs w:val="22"/>
        </w:rPr>
        <w:t>0 and 201</w:t>
      </w:r>
      <w:r>
        <w:rPr>
          <w:rFonts w:ascii="Arial" w:hAnsi="Arial" w:cs="Arial"/>
          <w:b/>
          <w:sz w:val="22"/>
          <w:szCs w:val="22"/>
        </w:rPr>
        <w:t>1</w:t>
      </w:r>
      <w:r w:rsidRPr="008A4604">
        <w:rPr>
          <w:rFonts w:ascii="Arial" w:hAnsi="Arial" w:cs="Arial"/>
          <w:b/>
          <w:sz w:val="22"/>
          <w:szCs w:val="22"/>
        </w:rPr>
        <w:t xml:space="preserve"> financial years </w:t>
      </w:r>
      <w:r w:rsidRPr="008A4604">
        <w:rPr>
          <w:rFonts w:ascii="Arial" w:hAnsi="Arial" w:cs="Arial"/>
          <w:b/>
          <w:bCs/>
          <w:snapToGrid w:val="0"/>
          <w:sz w:val="22"/>
          <w:szCs w:val="22"/>
          <w:vertAlign w:val="superscript"/>
          <w:lang w:val="en-AU"/>
        </w:rPr>
        <w:t>1</w:t>
      </w:r>
      <w:r w:rsidRPr="008A4604">
        <w:rPr>
          <w:rFonts w:ascii="Arial" w:hAnsi="Arial" w:cs="Arial"/>
          <w:b/>
          <w:snapToGrid w:val="0"/>
          <w:sz w:val="22"/>
          <w:szCs w:val="22"/>
          <w:lang w:val="en-AU"/>
        </w:rPr>
        <w:t xml:space="preserve"> </w:t>
      </w:r>
    </w:p>
    <w:tbl>
      <w:tblPr>
        <w:tblW w:w="101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50"/>
        <w:gridCol w:w="5400"/>
        <w:gridCol w:w="1260"/>
        <w:gridCol w:w="1440"/>
        <w:gridCol w:w="1260"/>
      </w:tblGrid>
      <w:tr w:rsidR="00195342" w:rsidRPr="004E347B" w:rsidTr="00E55B5E">
        <w:trPr>
          <w:cantSplit/>
          <w:trHeight w:val="655"/>
        </w:trPr>
        <w:tc>
          <w:tcPr>
            <w:tcW w:w="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5342" w:rsidRDefault="00195342" w:rsidP="00FF2F4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GFS’01 codes</w:t>
            </w:r>
          </w:p>
          <w:p w:rsidR="00FF2F48" w:rsidRPr="004E347B" w:rsidRDefault="00FF2F48" w:rsidP="00FF2F4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5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95342" w:rsidRDefault="00195342" w:rsidP="00E55B5E">
            <w:pPr>
              <w:rPr>
                <w:rFonts w:ascii="Arial" w:hAnsi="Arial" w:cs="Arial"/>
                <w:b/>
                <w:bCs/>
                <w:snapToGrid w:val="0"/>
                <w:color w:val="000000"/>
                <w:sz w:val="21"/>
                <w:szCs w:val="21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color w:val="000000"/>
                <w:sz w:val="21"/>
                <w:szCs w:val="21"/>
                <w:lang w:val="en-AU"/>
              </w:rPr>
              <w:t>Transactions</w:t>
            </w:r>
            <w:r w:rsidRPr="00377299">
              <w:rPr>
                <w:rFonts w:ascii="Arial" w:hAnsi="Arial" w:cs="Arial"/>
                <w:b/>
                <w:bCs/>
                <w:snapToGrid w:val="0"/>
                <w:color w:val="000000"/>
                <w:sz w:val="21"/>
                <w:szCs w:val="21"/>
                <w:lang w:val="en-AU"/>
              </w:rPr>
              <w:t xml:space="preserve"> in non-financial assets</w:t>
            </w:r>
          </w:p>
          <w:p w:rsidR="00FF2F48" w:rsidRDefault="00FF2F48" w:rsidP="00E55B5E">
            <w:pPr>
              <w:rPr>
                <w:rFonts w:ascii="Arial" w:hAnsi="Arial" w:cs="Arial"/>
                <w:b/>
                <w:bCs/>
                <w:snapToGrid w:val="0"/>
                <w:color w:val="000000"/>
                <w:sz w:val="21"/>
                <w:szCs w:val="21"/>
                <w:lang w:val="en-AU"/>
              </w:rPr>
            </w:pPr>
          </w:p>
          <w:p w:rsidR="00FF2F48" w:rsidRPr="004E347B" w:rsidRDefault="00FF2F48" w:rsidP="00E55B5E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2010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2011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 xml:space="preserve">Change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between 2010 and 2011</w:t>
            </w:r>
          </w:p>
        </w:tc>
      </w:tr>
      <w:tr w:rsidR="00195342" w:rsidRPr="004E347B" w:rsidTr="00E55B5E">
        <w:trPr>
          <w:cantSplit/>
          <w:trHeight w:val="88"/>
        </w:trPr>
        <w:tc>
          <w:tcPr>
            <w:tcW w:w="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5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 xml:space="preserve">R million </w:t>
            </w: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vertAlign w:val="superscript"/>
                <w:lang w:val="en-AU"/>
              </w:rPr>
              <w:t>1</w:t>
            </w: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 xml:space="preserve">R million </w:t>
            </w: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vertAlign w:val="superscript"/>
                <w:lang w:val="en-AU"/>
              </w:rPr>
              <w:t>1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 xml:space="preserve">R million </w:t>
            </w: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vertAlign w:val="superscript"/>
                <w:lang w:val="en-AU"/>
              </w:rPr>
              <w:t>1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347B">
              <w:rPr>
                <w:rFonts w:ascii="Arial" w:hAnsi="Arial" w:cs="Arial"/>
                <w:b/>
                <w:sz w:val="20"/>
                <w:szCs w:val="20"/>
                <w:lang w:val="en-AU"/>
              </w:rPr>
              <w:t>611</w:t>
            </w:r>
          </w:p>
        </w:tc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b/>
                <w:bCs/>
                <w:sz w:val="22"/>
              </w:rPr>
            </w:pPr>
          </w:p>
          <w:p w:rsidR="00195342" w:rsidRPr="004E347B" w:rsidRDefault="00195342" w:rsidP="00E55B5E">
            <w:pPr>
              <w:tabs>
                <w:tab w:val="left" w:pos="7380"/>
              </w:tabs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z w:val="21"/>
                <w:szCs w:val="21"/>
              </w:rPr>
              <w:t>Purchases of non-financial assets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: </w:t>
            </w:r>
            <w:r>
              <w:rPr>
                <w:rFonts w:ascii="Arial" w:hAnsi="Arial" w:cs="Arial"/>
                <w:snapToGrid w:val="0"/>
                <w:sz w:val="20"/>
                <w:lang w:val="en-AU"/>
              </w:rPr>
              <w:t xml:space="preserve">   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 </w:t>
            </w: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  <w:t>(m + q + r + s) = l</w:t>
            </w:r>
          </w:p>
          <w:p w:rsidR="00195342" w:rsidRPr="004E347B" w:rsidRDefault="00195342" w:rsidP="00E55B5E">
            <w:pPr>
              <w:tabs>
                <w:tab w:val="left" w:pos="7380"/>
              </w:tabs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</w:pPr>
          </w:p>
          <w:p w:rsidR="00195342" w:rsidRPr="004E347B" w:rsidRDefault="00195342" w:rsidP="00E55B5E">
            <w:pPr>
              <w:tabs>
                <w:tab w:val="left" w:pos="7380"/>
              </w:tabs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  <w:t>Fixed assets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:                                                </w:t>
            </w: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  <w:t>(n + o + p) = m</w:t>
            </w:r>
          </w:p>
        </w:tc>
        <w:tc>
          <w:tcPr>
            <w:tcW w:w="1260" w:type="dxa"/>
            <w:tcBorders>
              <w:top w:val="single" w:sz="8" w:space="0" w:color="auto"/>
            </w:tcBorders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3</w:t>
            </w: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 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393</w:t>
            </w:r>
          </w:p>
          <w:p w:rsidR="00195342" w:rsidRPr="004E347B" w:rsidRDefault="00195342" w:rsidP="00E55B5E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3 332</w:t>
            </w:r>
          </w:p>
        </w:tc>
        <w:tc>
          <w:tcPr>
            <w:tcW w:w="1440" w:type="dxa"/>
            <w:tcBorders>
              <w:top w:val="single" w:sz="8" w:space="0" w:color="auto"/>
            </w:tcBorders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3 388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3 373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260" w:type="dxa"/>
            <w:tcBorders>
              <w:top w:val="single" w:sz="8" w:space="0" w:color="auto"/>
            </w:tcBorders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-5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41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z w:val="20"/>
                <w:szCs w:val="20"/>
                <w:lang w:val="en-AU"/>
              </w:rPr>
              <w:t>6111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tabs>
                <w:tab w:val="left" w:pos="7380"/>
              </w:tabs>
              <w:rPr>
                <w:rFonts w:ascii="Arial" w:hAnsi="Arial" w:cs="Arial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z w:val="20"/>
                <w:lang w:val="en-AU"/>
              </w:rPr>
              <w:t>Buildings and structures</w:t>
            </w:r>
            <w:r w:rsidRPr="004E347B">
              <w:rPr>
                <w:rFonts w:ascii="Arial" w:hAnsi="Arial" w:cs="Arial"/>
                <w:sz w:val="20"/>
                <w:lang w:val="en-AU"/>
              </w:rPr>
              <w:t xml:space="preserve">:                    </w:t>
            </w:r>
            <w:r>
              <w:rPr>
                <w:rFonts w:ascii="Arial" w:hAnsi="Arial" w:cs="Arial"/>
                <w:sz w:val="20"/>
                <w:lang w:val="en-AU"/>
              </w:rPr>
              <w:t xml:space="preserve">                       </w:t>
            </w:r>
            <w:r w:rsidRPr="004E347B">
              <w:rPr>
                <w:rFonts w:ascii="Arial" w:hAnsi="Arial" w:cs="Arial"/>
                <w:sz w:val="20"/>
                <w:lang w:val="en-AU"/>
              </w:rPr>
              <w:t xml:space="preserve">       </w:t>
            </w:r>
            <w:r w:rsidRPr="004E347B">
              <w:rPr>
                <w:rFonts w:ascii="Arial" w:hAnsi="Arial" w:cs="Arial"/>
                <w:b/>
                <w:bCs/>
                <w:sz w:val="20"/>
                <w:lang w:val="en-AU"/>
              </w:rPr>
              <w:t>n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2 845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2 610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-235</w:t>
            </w:r>
          </w:p>
        </w:tc>
      </w:tr>
      <w:tr w:rsidR="00195342" w:rsidRPr="004E347B" w:rsidTr="00E55B5E">
        <w:trPr>
          <w:trHeight w:val="207"/>
        </w:trPr>
        <w:tc>
          <w:tcPr>
            <w:tcW w:w="750" w:type="dxa"/>
            <w:tcBorders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11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pStyle w:val="FootnoteText"/>
              <w:rPr>
                <w:rFonts w:ascii="Arial" w:hAnsi="Arial" w:cs="Arial"/>
                <w:szCs w:val="24"/>
                <w:lang w:val="en-US"/>
              </w:rPr>
            </w:pPr>
            <w:r w:rsidRPr="004E347B">
              <w:rPr>
                <w:rFonts w:ascii="Arial" w:hAnsi="Arial" w:cs="Arial"/>
                <w:szCs w:val="24"/>
                <w:lang w:val="en-US"/>
              </w:rPr>
              <w:t>Residential buildings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0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1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1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12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z w:val="20"/>
                <w:lang w:val="en-AU"/>
              </w:rPr>
            </w:pPr>
            <w:r w:rsidRPr="004E347B">
              <w:rPr>
                <w:rFonts w:ascii="Arial" w:hAnsi="Arial" w:cs="Arial"/>
                <w:sz w:val="20"/>
                <w:lang w:val="en-AU"/>
              </w:rPr>
              <w:t>Non-residential buildings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2 206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tabs>
                <w:tab w:val="left" w:pos="1410"/>
              </w:tabs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2 026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-180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13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z w:val="20"/>
              </w:rPr>
            </w:pPr>
            <w:r w:rsidRPr="004E347B">
              <w:rPr>
                <w:rFonts w:ascii="Arial" w:hAnsi="Arial" w:cs="Arial"/>
                <w:sz w:val="20"/>
              </w:rPr>
              <w:t xml:space="preserve">Other </w:t>
            </w:r>
            <w:proofErr w:type="spellStart"/>
            <w:r>
              <w:rPr>
                <w:rFonts w:ascii="Arial" w:hAnsi="Arial" w:cs="Arial"/>
                <w:sz w:val="20"/>
              </w:rPr>
              <w:t>constractions</w:t>
            </w:r>
            <w:proofErr w:type="spellEnd"/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639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583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-56</w:t>
            </w:r>
          </w:p>
        </w:tc>
      </w:tr>
      <w:tr w:rsidR="00195342" w:rsidRPr="004E347B" w:rsidTr="00E55B5E">
        <w:trPr>
          <w:trHeight w:val="270"/>
        </w:trPr>
        <w:tc>
          <w:tcPr>
            <w:tcW w:w="750" w:type="dxa"/>
            <w:tcBorders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single" w:sz="8" w:space="0" w:color="auto"/>
            </w:tcBorders>
            <w:vAlign w:val="center"/>
          </w:tcPr>
          <w:p w:rsidR="00195342" w:rsidRPr="00B54649" w:rsidRDefault="00195342" w:rsidP="00E55B5E">
            <w:pPr>
              <w:jc w:val="center"/>
              <w:rPr>
                <w:rFonts w:ascii="Arial" w:hAnsi="Arial" w:cs="Arial"/>
                <w:b/>
              </w:rPr>
            </w:pPr>
            <w:r w:rsidRPr="00B54649">
              <w:rPr>
                <w:rFonts w:ascii="Arial" w:hAnsi="Arial" w:cs="Arial"/>
                <w:b/>
                <w:sz w:val="20"/>
                <w:szCs w:val="20"/>
                <w:lang w:val="en-AU"/>
              </w:rPr>
              <w:t>6112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  <w:t>Machinery and equipment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:                   </w:t>
            </w:r>
            <w:r>
              <w:rPr>
                <w:rFonts w:ascii="Arial" w:hAnsi="Arial" w:cs="Arial"/>
                <w:snapToGrid w:val="0"/>
                <w:sz w:val="20"/>
                <w:lang w:val="en-AU"/>
              </w:rPr>
              <w:t xml:space="preserve">                       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      </w:t>
            </w: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  <w:t>o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  <w:t>454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650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196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61121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>Vehicles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19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11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-8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bottom w:val="nil"/>
              <w:right w:val="single" w:sz="8" w:space="0" w:color="auto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61122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>Computer equipment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-16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84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100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top w:val="nil"/>
              <w:right w:val="nil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61124</w:t>
            </w:r>
          </w:p>
        </w:tc>
        <w:tc>
          <w:tcPr>
            <w:tcW w:w="5400" w:type="dxa"/>
            <w:tcBorders>
              <w:top w:val="nil"/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>Furniture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i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iCs/>
                <w:snapToGrid w:val="0"/>
                <w:sz w:val="20"/>
                <w:szCs w:val="20"/>
                <w:lang w:val="en-AU"/>
              </w:rPr>
              <w:t>299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397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98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nil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61125</w:t>
            </w:r>
          </w:p>
        </w:tc>
        <w:tc>
          <w:tcPr>
            <w:tcW w:w="5400" w:type="dxa"/>
            <w:tcBorders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>Other machinery and equipment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156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156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0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nil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</w:rPr>
            </w:pPr>
            <w:r w:rsidRPr="004E347B">
              <w:rPr>
                <w:rFonts w:ascii="Arial" w:hAnsi="Arial" w:cs="Arial"/>
                <w:sz w:val="20"/>
                <w:szCs w:val="20"/>
                <w:lang w:val="en-AU"/>
              </w:rPr>
              <w:t>61126</w:t>
            </w:r>
          </w:p>
        </w:tc>
        <w:tc>
          <w:tcPr>
            <w:tcW w:w="5400" w:type="dxa"/>
            <w:tcBorders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>Books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tabs>
                <w:tab w:val="center" w:pos="591"/>
                <w:tab w:val="right" w:pos="1183"/>
              </w:tabs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-4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2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6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nil"/>
            </w:tcBorders>
            <w:vAlign w:val="center"/>
          </w:tcPr>
          <w:p w:rsidR="00195342" w:rsidRPr="004E347B" w:rsidRDefault="00195342" w:rsidP="00E55B5E">
            <w:pPr>
              <w:tabs>
                <w:tab w:val="left" w:pos="520"/>
              </w:tabs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5400" w:type="dxa"/>
            <w:tcBorders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iCs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nil"/>
            </w:tcBorders>
            <w:vAlign w:val="center"/>
          </w:tcPr>
          <w:p w:rsidR="00195342" w:rsidRPr="004E347B" w:rsidRDefault="00195342" w:rsidP="00E55B5E">
            <w:pPr>
              <w:tabs>
                <w:tab w:val="left" w:pos="520"/>
              </w:tabs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6113</w:t>
            </w:r>
          </w:p>
        </w:tc>
        <w:tc>
          <w:tcPr>
            <w:tcW w:w="5400" w:type="dxa"/>
            <w:tcBorders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i/>
                <w:iCs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z w:val="20"/>
              </w:rPr>
              <w:t>Other fixed assets</w:t>
            </w:r>
            <w:r w:rsidRPr="004E347B">
              <w:rPr>
                <w:rFonts w:ascii="Arial" w:hAnsi="Arial" w:cs="Arial"/>
                <w:sz w:val="20"/>
              </w:rPr>
              <w:t xml:space="preserve">:                               </w:t>
            </w:r>
            <w:r>
              <w:rPr>
                <w:rFonts w:ascii="Arial" w:hAnsi="Arial" w:cs="Arial"/>
                <w:sz w:val="20"/>
              </w:rPr>
              <w:t xml:space="preserve">                        </w:t>
            </w:r>
            <w:r w:rsidRPr="004E347B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E347B">
              <w:rPr>
                <w:rFonts w:ascii="Arial" w:hAnsi="Arial" w:cs="Arial"/>
                <w:b/>
                <w:bCs/>
                <w:sz w:val="20"/>
              </w:rPr>
              <w:t>p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33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  <w:t>113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  <w:t>80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nil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61132</w:t>
            </w: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sz w:val="20"/>
                <w:szCs w:val="20"/>
              </w:rPr>
              <w:t>612</w:t>
            </w:r>
          </w:p>
        </w:tc>
        <w:tc>
          <w:tcPr>
            <w:tcW w:w="5400" w:type="dxa"/>
            <w:tcBorders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Intangible assets                                                                                                          </w:t>
            </w:r>
          </w:p>
          <w:p w:rsidR="00195342" w:rsidRPr="004E347B" w:rsidRDefault="00195342" w:rsidP="00E55B5E">
            <w:pPr>
              <w:rPr>
                <w:rFonts w:ascii="Arial" w:hAnsi="Arial" w:cs="Arial"/>
                <w:snapToGrid w:val="0"/>
                <w:sz w:val="20"/>
                <w:lang w:val="en-AU"/>
              </w:rPr>
            </w:pPr>
          </w:p>
          <w:p w:rsidR="00195342" w:rsidRPr="004E347B" w:rsidRDefault="00195342" w:rsidP="00E55B5E">
            <w:pPr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  <w:t>Inventories</w:t>
            </w:r>
            <w:r w:rsidRPr="004E347B">
              <w:rPr>
                <w:rFonts w:ascii="Arial" w:hAnsi="Arial" w:cs="Arial"/>
                <w:bCs/>
                <w:snapToGrid w:val="0"/>
                <w:sz w:val="20"/>
                <w:lang w:val="en-AU"/>
              </w:rPr>
              <w:t xml:space="preserve">                                            </w:t>
            </w:r>
            <w:r>
              <w:rPr>
                <w:rFonts w:ascii="Arial" w:hAnsi="Arial" w:cs="Arial"/>
                <w:bCs/>
                <w:snapToGrid w:val="0"/>
                <w:sz w:val="20"/>
                <w:lang w:val="en-AU"/>
              </w:rPr>
              <w:t xml:space="preserve">                            </w:t>
            </w:r>
            <w:r w:rsidRPr="004E347B">
              <w:rPr>
                <w:rFonts w:ascii="Arial" w:hAnsi="Arial" w:cs="Arial"/>
                <w:bCs/>
                <w:snapToGrid w:val="0"/>
                <w:sz w:val="20"/>
                <w:lang w:val="en-AU"/>
              </w:rPr>
              <w:t xml:space="preserve"> </w:t>
            </w:r>
            <w:r>
              <w:rPr>
                <w:rFonts w:ascii="Arial" w:hAnsi="Arial" w:cs="Arial"/>
                <w:bCs/>
                <w:snapToGrid w:val="0"/>
                <w:sz w:val="20"/>
                <w:lang w:val="en-AU"/>
              </w:rPr>
              <w:t xml:space="preserve"> </w:t>
            </w:r>
            <w:r w:rsidRPr="004E347B">
              <w:rPr>
                <w:rFonts w:ascii="Arial" w:hAnsi="Arial" w:cs="Arial"/>
                <w:b/>
                <w:bCs/>
                <w:snapToGrid w:val="0"/>
                <w:sz w:val="20"/>
                <w:lang w:val="en-AU"/>
              </w:rPr>
              <w:t>q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  <w:t>33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61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113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ind w:right="-30"/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  <w:t>10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  <w:t>80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en-AU"/>
              </w:rPr>
              <w:t>-51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nil"/>
            </w:tcBorders>
            <w:vAlign w:val="center"/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613</w:t>
            </w: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 w:rsidRPr="004E347B">
              <w:rPr>
                <w:rFonts w:ascii="Arial" w:hAnsi="Arial" w:cs="Arial"/>
                <w:b/>
                <w:bCs/>
                <w:sz w:val="20"/>
                <w:szCs w:val="20"/>
              </w:rPr>
              <w:t>614</w:t>
            </w:r>
          </w:p>
        </w:tc>
        <w:tc>
          <w:tcPr>
            <w:tcW w:w="5400" w:type="dxa"/>
            <w:tcBorders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bCs/>
                <w:snapToGrid w:val="0"/>
                <w:sz w:val="20"/>
                <w:lang w:val="en-AU"/>
              </w:rPr>
            </w:pPr>
          </w:p>
          <w:p w:rsidR="00195342" w:rsidRPr="004E347B" w:rsidRDefault="00195342" w:rsidP="00E55B5E">
            <w:pPr>
              <w:tabs>
                <w:tab w:val="left" w:pos="7380"/>
              </w:tabs>
              <w:rPr>
                <w:rFonts w:ascii="Arial" w:hAnsi="Arial" w:cs="Arial"/>
                <w:b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lang w:val="en-AU"/>
              </w:rPr>
              <w:t>Valuables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                                                  </w:t>
            </w:r>
            <w:r>
              <w:rPr>
                <w:rFonts w:ascii="Arial" w:hAnsi="Arial" w:cs="Arial"/>
                <w:snapToGrid w:val="0"/>
                <w:sz w:val="20"/>
                <w:lang w:val="en-AU"/>
              </w:rPr>
              <w:t xml:space="preserve">                        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  </w:t>
            </w:r>
            <w:r>
              <w:rPr>
                <w:rFonts w:ascii="Arial" w:hAnsi="Arial" w:cs="Arial"/>
                <w:snapToGrid w:val="0"/>
                <w:sz w:val="20"/>
                <w:lang w:val="en-AU"/>
              </w:rPr>
              <w:t xml:space="preserve"> </w:t>
            </w:r>
            <w:r w:rsidRPr="004E347B">
              <w:rPr>
                <w:rFonts w:ascii="Arial" w:hAnsi="Arial" w:cs="Arial"/>
                <w:b/>
                <w:snapToGrid w:val="0"/>
                <w:sz w:val="20"/>
                <w:lang w:val="en-AU"/>
              </w:rPr>
              <w:t>r</w:t>
            </w:r>
          </w:p>
          <w:p w:rsidR="00195342" w:rsidRPr="004E347B" w:rsidRDefault="00195342" w:rsidP="00E55B5E">
            <w:pPr>
              <w:rPr>
                <w:rFonts w:ascii="Arial" w:hAnsi="Arial" w:cs="Arial"/>
                <w:bCs/>
                <w:snapToGrid w:val="0"/>
                <w:sz w:val="20"/>
                <w:lang w:val="en-AU"/>
              </w:rPr>
            </w:pPr>
          </w:p>
          <w:p w:rsidR="00195342" w:rsidRPr="004E347B" w:rsidRDefault="00195342" w:rsidP="00E55B5E">
            <w:pPr>
              <w:rPr>
                <w:rFonts w:ascii="Arial" w:hAnsi="Arial" w:cs="Arial"/>
                <w:b/>
                <w:snapToGrid w:val="0"/>
                <w:sz w:val="20"/>
                <w:lang w:val="en-AU"/>
              </w:rPr>
            </w:pPr>
            <w:r w:rsidRPr="004E347B">
              <w:rPr>
                <w:rFonts w:ascii="Arial" w:hAnsi="Arial" w:cs="Arial"/>
                <w:b/>
                <w:snapToGrid w:val="0"/>
                <w:sz w:val="20"/>
                <w:lang w:val="en-AU"/>
              </w:rPr>
              <w:t>Non-produced assets</w:t>
            </w:r>
            <w:r w:rsidRPr="004E347B">
              <w:rPr>
                <w:rFonts w:ascii="Arial" w:hAnsi="Arial" w:cs="Arial"/>
                <w:snapToGrid w:val="0"/>
                <w:sz w:val="20"/>
                <w:lang w:val="en-AU"/>
              </w:rPr>
              <w:t xml:space="preserve">                           </w:t>
            </w:r>
            <w:r>
              <w:rPr>
                <w:rFonts w:ascii="Arial" w:hAnsi="Arial" w:cs="Arial"/>
                <w:snapToGrid w:val="0"/>
                <w:sz w:val="20"/>
                <w:lang w:val="en-AU"/>
              </w:rPr>
              <w:t xml:space="preserve">                             </w:t>
            </w:r>
            <w:r w:rsidRPr="004E347B">
              <w:rPr>
                <w:rFonts w:ascii="Arial" w:hAnsi="Arial" w:cs="Arial"/>
                <w:b/>
                <w:snapToGrid w:val="0"/>
                <w:sz w:val="20"/>
                <w:lang w:val="en-AU"/>
              </w:rPr>
              <w:t>s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tabs>
                <w:tab w:val="center" w:pos="451"/>
                <w:tab w:val="right" w:pos="902"/>
              </w:tabs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tabs>
                <w:tab w:val="center" w:pos="451"/>
                <w:tab w:val="right" w:pos="902"/>
              </w:tabs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0</w:t>
            </w:r>
          </w:p>
          <w:p w:rsidR="00195342" w:rsidRPr="004E347B" w:rsidRDefault="00195342" w:rsidP="00E55B5E">
            <w:pPr>
              <w:tabs>
                <w:tab w:val="center" w:pos="451"/>
                <w:tab w:val="right" w:pos="902"/>
              </w:tabs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0</w:t>
            </w: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0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5</w:t>
            </w: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0</w:t>
            </w: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</w:p>
          <w:p w:rsidR="00195342" w:rsidRPr="004E347B" w:rsidRDefault="00195342" w:rsidP="00E55B5E">
            <w:pPr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>5</w:t>
            </w:r>
            <w:r w:rsidRPr="004E347B">
              <w:rPr>
                <w:rFonts w:ascii="Arial" w:hAnsi="Arial" w:cs="Arial"/>
                <w:b/>
                <w:snapToGrid w:val="0"/>
                <w:sz w:val="20"/>
                <w:szCs w:val="20"/>
                <w:lang w:val="en-AU"/>
              </w:rPr>
              <w:t xml:space="preserve">             </w:t>
            </w:r>
          </w:p>
        </w:tc>
      </w:tr>
      <w:tr w:rsidR="00195342" w:rsidRPr="004E347B" w:rsidTr="00E55B5E">
        <w:trPr>
          <w:trHeight w:val="233"/>
        </w:trPr>
        <w:tc>
          <w:tcPr>
            <w:tcW w:w="750" w:type="dxa"/>
            <w:tcBorders>
              <w:right w:val="nil"/>
            </w:tcBorders>
          </w:tcPr>
          <w:p w:rsidR="00195342" w:rsidRPr="004E347B" w:rsidRDefault="00195342" w:rsidP="00E55B5E">
            <w:pPr>
              <w:jc w:val="center"/>
              <w:rPr>
                <w:rFonts w:ascii="Arial" w:hAnsi="Arial" w:cs="Arial"/>
                <w:b/>
                <w:i/>
                <w:iCs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5400" w:type="dxa"/>
            <w:tcBorders>
              <w:right w:val="nil"/>
            </w:tcBorders>
          </w:tcPr>
          <w:p w:rsidR="00195342" w:rsidRPr="004E347B" w:rsidRDefault="00195342" w:rsidP="00E55B5E">
            <w:pPr>
              <w:rPr>
                <w:rFonts w:ascii="Arial" w:hAnsi="Arial" w:cs="Arial"/>
                <w:b/>
                <w:i/>
                <w:iCs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iCs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44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i/>
                <w:iCs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1260" w:type="dxa"/>
          </w:tcPr>
          <w:p w:rsidR="00195342" w:rsidRPr="004E347B" w:rsidRDefault="00195342" w:rsidP="00E55B5E">
            <w:pPr>
              <w:jc w:val="right"/>
              <w:rPr>
                <w:rFonts w:ascii="Arial" w:hAnsi="Arial" w:cs="Arial"/>
                <w:i/>
                <w:iCs/>
                <w:snapToGrid w:val="0"/>
                <w:sz w:val="20"/>
                <w:szCs w:val="20"/>
                <w:lang w:val="en-AU"/>
              </w:rPr>
            </w:pPr>
          </w:p>
        </w:tc>
      </w:tr>
    </w:tbl>
    <w:p w:rsidR="00195342" w:rsidRDefault="00195342" w:rsidP="00195342">
      <w:pPr>
        <w:pStyle w:val="BodyText"/>
        <w:tabs>
          <w:tab w:val="left" w:pos="810"/>
        </w:tabs>
        <w:spacing w:after="0"/>
        <w:rPr>
          <w:rFonts w:ascii="Arial" w:hAnsi="Arial" w:cs="Arial"/>
          <w:b/>
          <w:snapToGrid w:val="0"/>
          <w:sz w:val="20"/>
          <w:szCs w:val="20"/>
          <w:vertAlign w:val="superscript"/>
          <w:lang w:val="en-AU"/>
        </w:rPr>
      </w:pPr>
    </w:p>
    <w:p w:rsidR="00195342" w:rsidRPr="008A4604" w:rsidRDefault="00195342" w:rsidP="00195342">
      <w:pPr>
        <w:pStyle w:val="BodyText"/>
        <w:tabs>
          <w:tab w:val="left" w:pos="810"/>
        </w:tabs>
        <w:spacing w:after="0"/>
        <w:rPr>
          <w:rFonts w:ascii="Arial" w:hAnsi="Arial" w:cs="Arial"/>
          <w:snapToGrid w:val="0"/>
          <w:sz w:val="20"/>
          <w:szCs w:val="20"/>
          <w:lang w:val="en-AU"/>
        </w:rPr>
      </w:pPr>
      <w:r w:rsidRPr="008A4604">
        <w:rPr>
          <w:rFonts w:ascii="Arial" w:hAnsi="Arial" w:cs="Arial"/>
          <w:b/>
          <w:snapToGrid w:val="0"/>
          <w:sz w:val="20"/>
          <w:szCs w:val="20"/>
          <w:vertAlign w:val="superscript"/>
          <w:lang w:val="en-AU"/>
        </w:rPr>
        <w:t>1</w:t>
      </w:r>
      <w:r w:rsidRPr="008A4604">
        <w:rPr>
          <w:rFonts w:ascii="Arial" w:hAnsi="Arial" w:cs="Arial"/>
          <w:snapToGrid w:val="0"/>
          <w:sz w:val="20"/>
          <w:szCs w:val="20"/>
          <w:lang w:val="en-AU"/>
        </w:rPr>
        <w:t xml:space="preserve"> The sum of the data may not necessarily add up to totals due to rounding-off of figures.</w:t>
      </w:r>
    </w:p>
    <w:p w:rsidR="00195342" w:rsidRDefault="00195342" w:rsidP="00195342">
      <w:pPr>
        <w:pStyle w:val="BodyText3"/>
        <w:ind w:right="1225"/>
        <w:rPr>
          <w:b/>
          <w:sz w:val="28"/>
          <w:szCs w:val="28"/>
        </w:rPr>
      </w:pPr>
    </w:p>
    <w:p w:rsidR="00F118E9" w:rsidRPr="00B67013" w:rsidRDefault="00F118E9" w:rsidP="00B87D71">
      <w:pPr>
        <w:tabs>
          <w:tab w:val="left" w:pos="3402"/>
          <w:tab w:val="left" w:pos="3969"/>
          <w:tab w:val="left" w:pos="4820"/>
        </w:tabs>
        <w:ind w:right="1049"/>
        <w:jc w:val="both"/>
        <w:rPr>
          <w:sz w:val="20"/>
          <w:szCs w:val="20"/>
        </w:rPr>
      </w:pPr>
    </w:p>
    <w:sectPr w:rsidR="00F118E9" w:rsidRPr="00B67013" w:rsidSect="00E81740">
      <w:headerReference w:type="default" r:id="rId7"/>
      <w:pgSz w:w="11906" w:h="16838"/>
      <w:pgMar w:top="1440" w:right="567" w:bottom="851" w:left="567" w:header="709" w:footer="255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C6B" w:rsidRDefault="00DB7C6B">
      <w:r>
        <w:separator/>
      </w:r>
    </w:p>
  </w:endnote>
  <w:endnote w:type="continuationSeparator" w:id="1">
    <w:p w:rsidR="00DB7C6B" w:rsidRDefault="00DB7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C6B" w:rsidRDefault="00DB7C6B">
      <w:r>
        <w:separator/>
      </w:r>
    </w:p>
  </w:footnote>
  <w:footnote w:type="continuationSeparator" w:id="1">
    <w:p w:rsidR="00DB7C6B" w:rsidRDefault="00DB7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CF9" w:rsidRDefault="00C63A33" w:rsidP="008703B3">
    <w:pPr>
      <w:pStyle w:val="Header"/>
      <w:tabs>
        <w:tab w:val="clear" w:pos="4153"/>
        <w:tab w:val="clear" w:pos="8306"/>
        <w:tab w:val="left" w:pos="5500"/>
        <w:tab w:val="right" w:pos="10800"/>
      </w:tabs>
      <w:rPr>
        <w:rFonts w:ascii="Arial" w:hAnsi="Arial" w:cs="Arial"/>
        <w:sz w:val="18"/>
        <w:szCs w:val="18"/>
      </w:rPr>
    </w:pPr>
    <w:r w:rsidRPr="00C63A33">
      <w:rPr>
        <w:rFonts w:ascii="Arial" w:hAnsi="Arial" w:cs="Arial"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-33.8pt;margin-top:29.6pt;width:600.95pt;height:2.45pt;z-index:251657728">
          <v:imagedata r:id="rId1" o:title="Base line"/>
        </v:shape>
      </w:pict>
    </w:r>
    <w:r w:rsidR="004C3CF9">
      <w:rPr>
        <w:rFonts w:ascii="Arial" w:hAnsi="Arial" w:cs="Arial"/>
        <w:sz w:val="18"/>
        <w:szCs w:val="18"/>
      </w:rPr>
      <w:t>Statistics South Africa</w:t>
    </w:r>
    <w:r w:rsidR="004C3CF9">
      <w:rPr>
        <w:rFonts w:ascii="Arial" w:hAnsi="Arial" w:cs="Arial"/>
        <w:sz w:val="18"/>
        <w:szCs w:val="18"/>
      </w:rPr>
      <w:tab/>
    </w:r>
    <w:r w:rsidRPr="00A639B5">
      <w:rPr>
        <w:rStyle w:val="PageNumber"/>
        <w:rFonts w:ascii="Arial" w:hAnsi="Arial" w:cs="Arial"/>
        <w:sz w:val="18"/>
        <w:szCs w:val="18"/>
      </w:rPr>
      <w:fldChar w:fldCharType="begin"/>
    </w:r>
    <w:r w:rsidR="004C3CF9" w:rsidRPr="00A639B5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A639B5">
      <w:rPr>
        <w:rStyle w:val="PageNumber"/>
        <w:rFonts w:ascii="Arial" w:hAnsi="Arial" w:cs="Arial"/>
        <w:sz w:val="18"/>
        <w:szCs w:val="18"/>
      </w:rPr>
      <w:fldChar w:fldCharType="separate"/>
    </w:r>
    <w:r w:rsidR="00FF2F48">
      <w:rPr>
        <w:rStyle w:val="PageNumber"/>
        <w:rFonts w:ascii="Arial" w:hAnsi="Arial" w:cs="Arial"/>
        <w:noProof/>
        <w:sz w:val="18"/>
        <w:szCs w:val="18"/>
      </w:rPr>
      <w:t>2</w:t>
    </w:r>
    <w:r w:rsidRPr="00A639B5">
      <w:rPr>
        <w:rStyle w:val="PageNumber"/>
        <w:rFonts w:ascii="Arial" w:hAnsi="Arial" w:cs="Arial"/>
        <w:sz w:val="18"/>
        <w:szCs w:val="18"/>
      </w:rPr>
      <w:fldChar w:fldCharType="end"/>
    </w:r>
    <w:r w:rsidR="00195342">
      <w:rPr>
        <w:rStyle w:val="PageNumber"/>
        <w:rFonts w:ascii="Arial" w:hAnsi="Arial" w:cs="Arial"/>
        <w:sz w:val="18"/>
        <w:szCs w:val="18"/>
      </w:rPr>
      <w:tab/>
      <w:t>P9103.1</w:t>
    </w:r>
    <w:r w:rsidR="004C3CF9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8B1C2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B03378"/>
    <w:multiLevelType w:val="hybridMultilevel"/>
    <w:tmpl w:val="A428FB22"/>
    <w:lvl w:ilvl="0" w:tplc="0409000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798"/>
        </w:tabs>
        <w:ind w:left="379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518"/>
        </w:tabs>
        <w:ind w:left="45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38"/>
        </w:tabs>
        <w:ind w:left="52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58"/>
        </w:tabs>
        <w:ind w:left="59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78"/>
        </w:tabs>
        <w:ind w:left="66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98"/>
        </w:tabs>
        <w:ind w:left="73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18"/>
        </w:tabs>
        <w:ind w:left="81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38"/>
        </w:tabs>
        <w:ind w:left="8838" w:hanging="180"/>
      </w:pPr>
    </w:lvl>
  </w:abstractNum>
  <w:abstractNum w:abstractNumId="3">
    <w:nsid w:val="14982CED"/>
    <w:multiLevelType w:val="hybridMultilevel"/>
    <w:tmpl w:val="FC18D5E8"/>
    <w:lvl w:ilvl="0" w:tplc="CA0257A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5BA37BA"/>
    <w:multiLevelType w:val="hybridMultilevel"/>
    <w:tmpl w:val="470CEB18"/>
    <w:lvl w:ilvl="0" w:tplc="86AE49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B4BA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525B6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84E623B"/>
    <w:multiLevelType w:val="hybridMultilevel"/>
    <w:tmpl w:val="8B6633FC"/>
    <w:lvl w:ilvl="0" w:tplc="9934E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B975A2"/>
    <w:multiLevelType w:val="multilevel"/>
    <w:tmpl w:val="97088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F7A0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70733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7F31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B6FD4"/>
    <w:multiLevelType w:val="hybridMultilevel"/>
    <w:tmpl w:val="8B6633FC"/>
    <w:lvl w:ilvl="0" w:tplc="9934E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3452A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D545AD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565535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597410B"/>
    <w:multiLevelType w:val="hybridMultilevel"/>
    <w:tmpl w:val="8B6633FC"/>
    <w:lvl w:ilvl="0" w:tplc="9934E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EE5F5E"/>
    <w:multiLevelType w:val="hybridMultilevel"/>
    <w:tmpl w:val="F14EEBFA"/>
    <w:lvl w:ilvl="0" w:tplc="FFFFFFFF">
      <w:start w:val="4"/>
      <w:numFmt w:val="decimal"/>
      <w:lvlText w:val="%1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8">
    <w:nsid w:val="5E9D04B7"/>
    <w:multiLevelType w:val="hybridMultilevel"/>
    <w:tmpl w:val="DCA432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3C30DE2"/>
    <w:multiLevelType w:val="hybridMultilevel"/>
    <w:tmpl w:val="AF6EA34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65C9099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657635B"/>
    <w:multiLevelType w:val="hybridMultilevel"/>
    <w:tmpl w:val="D2D033EE"/>
    <w:lvl w:ilvl="0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2">
    <w:nsid w:val="67020D35"/>
    <w:multiLevelType w:val="hybridMultilevel"/>
    <w:tmpl w:val="8B6633FC"/>
    <w:lvl w:ilvl="0" w:tplc="9934E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2B2B5A"/>
    <w:multiLevelType w:val="hybridMultilevel"/>
    <w:tmpl w:val="B6E0359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69484173"/>
    <w:multiLevelType w:val="hybridMultilevel"/>
    <w:tmpl w:val="97088DB6"/>
    <w:lvl w:ilvl="0" w:tplc="0D223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322284"/>
    <w:multiLevelType w:val="singleLevel"/>
    <w:tmpl w:val="B7B8BA9C"/>
    <w:lvl w:ilvl="0">
      <w:start w:val="1"/>
      <w:numFmt w:val="upperLetter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</w:abstractNum>
  <w:abstractNum w:abstractNumId="26">
    <w:nsid w:val="6FB95E93"/>
    <w:multiLevelType w:val="hybridMultilevel"/>
    <w:tmpl w:val="EA4647EE"/>
    <w:lvl w:ilvl="0" w:tplc="040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2"/>
        </w:tabs>
        <w:ind w:left="7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2"/>
        </w:tabs>
        <w:ind w:left="80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2"/>
        </w:tabs>
        <w:ind w:left="8742" w:hanging="360"/>
      </w:pPr>
      <w:rPr>
        <w:rFonts w:ascii="Wingdings" w:hAnsi="Wingdings" w:hint="default"/>
      </w:rPr>
    </w:lvl>
  </w:abstractNum>
  <w:abstractNum w:abstractNumId="27">
    <w:nsid w:val="71A10D62"/>
    <w:multiLevelType w:val="hybridMultilevel"/>
    <w:tmpl w:val="46A8EDA6"/>
    <w:lvl w:ilvl="0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8">
    <w:nsid w:val="74D266EE"/>
    <w:multiLevelType w:val="hybridMultilevel"/>
    <w:tmpl w:val="1BF846BA"/>
    <w:lvl w:ilvl="0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29">
    <w:nsid w:val="75824E2A"/>
    <w:multiLevelType w:val="hybridMultilevel"/>
    <w:tmpl w:val="E5B056A2"/>
    <w:lvl w:ilvl="0" w:tplc="43B03A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12"/>
  </w:num>
  <w:num w:numId="5">
    <w:abstractNumId w:val="22"/>
  </w:num>
  <w:num w:numId="6">
    <w:abstractNumId w:val="16"/>
  </w:num>
  <w:num w:numId="7">
    <w:abstractNumId w:val="6"/>
  </w:num>
  <w:num w:numId="8">
    <w:abstractNumId w:val="20"/>
  </w:num>
  <w:num w:numId="9">
    <w:abstractNumId w:val="13"/>
  </w:num>
  <w:num w:numId="10">
    <w:abstractNumId w:val="25"/>
  </w:num>
  <w:num w:numId="11">
    <w:abstractNumId w:val="11"/>
  </w:num>
  <w:num w:numId="12">
    <w:abstractNumId w:val="10"/>
  </w:num>
  <w:num w:numId="13">
    <w:abstractNumId w:val="14"/>
  </w:num>
  <w:num w:numId="14">
    <w:abstractNumId w:val="15"/>
  </w:num>
  <w:num w:numId="15">
    <w:abstractNumId w:val="1"/>
  </w:num>
  <w:num w:numId="16">
    <w:abstractNumId w:val="27"/>
  </w:num>
  <w:num w:numId="17">
    <w:abstractNumId w:val="23"/>
  </w:num>
  <w:num w:numId="18">
    <w:abstractNumId w:val="17"/>
  </w:num>
  <w:num w:numId="19">
    <w:abstractNumId w:val="26"/>
  </w:num>
  <w:num w:numId="20">
    <w:abstractNumId w:val="21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cs="Times New Roman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035" w:hanging="360"/>
        </w:pPr>
        <w:rPr>
          <w:rFonts w:ascii="Symbol" w:hAnsi="Symbol" w:cs="Times New Roman" w:hint="default"/>
          <w:b w:val="0"/>
          <w:i w:val="0"/>
          <w:sz w:val="22"/>
          <w:szCs w:val="22"/>
          <w:u w:val="none"/>
        </w:rPr>
      </w:lvl>
    </w:lvlOverride>
  </w:num>
  <w:num w:numId="2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24">
    <w:abstractNumId w:val="2"/>
  </w:num>
  <w:num w:numId="25">
    <w:abstractNumId w:val="19"/>
  </w:num>
  <w:num w:numId="26">
    <w:abstractNumId w:val="9"/>
  </w:num>
  <w:num w:numId="27">
    <w:abstractNumId w:val="5"/>
  </w:num>
  <w:num w:numId="28">
    <w:abstractNumId w:val="28"/>
  </w:num>
  <w:num w:numId="29">
    <w:abstractNumId w:val="3"/>
  </w:num>
  <w:num w:numId="30">
    <w:abstractNumId w:val="24"/>
  </w:num>
  <w:num w:numId="31">
    <w:abstractNumId w:val="8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20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AMO_XmlVersion" w:val="Empty"/>
    <w:docVar w:name="OLE_LINK1" w:val="Empty"/>
    <w:docVar w:name="OLE_LINK2" w:val="Empty"/>
    <w:docVar w:name="OLE_LINK6" w:val="Empty"/>
  </w:docVars>
  <w:rsids>
    <w:rsidRoot w:val="00F01377"/>
    <w:rsid w:val="000168D3"/>
    <w:rsid w:val="00017638"/>
    <w:rsid w:val="00027FB3"/>
    <w:rsid w:val="00034786"/>
    <w:rsid w:val="0003684C"/>
    <w:rsid w:val="000369F0"/>
    <w:rsid w:val="00044292"/>
    <w:rsid w:val="0004671A"/>
    <w:rsid w:val="00047636"/>
    <w:rsid w:val="00053E05"/>
    <w:rsid w:val="00057877"/>
    <w:rsid w:val="00065116"/>
    <w:rsid w:val="00071394"/>
    <w:rsid w:val="00071476"/>
    <w:rsid w:val="00073D29"/>
    <w:rsid w:val="00076F95"/>
    <w:rsid w:val="00084B79"/>
    <w:rsid w:val="000858FE"/>
    <w:rsid w:val="000949B8"/>
    <w:rsid w:val="000950C7"/>
    <w:rsid w:val="000B374D"/>
    <w:rsid w:val="000C3B2E"/>
    <w:rsid w:val="000C3C58"/>
    <w:rsid w:val="000D5EF2"/>
    <w:rsid w:val="000E1C72"/>
    <w:rsid w:val="000E1D02"/>
    <w:rsid w:val="000E33EB"/>
    <w:rsid w:val="000E376B"/>
    <w:rsid w:val="000E3DBD"/>
    <w:rsid w:val="000E5E87"/>
    <w:rsid w:val="000E7FAD"/>
    <w:rsid w:val="000F4C13"/>
    <w:rsid w:val="000F61F9"/>
    <w:rsid w:val="001017C0"/>
    <w:rsid w:val="00104C09"/>
    <w:rsid w:val="0010517A"/>
    <w:rsid w:val="001111CC"/>
    <w:rsid w:val="00122122"/>
    <w:rsid w:val="00132F42"/>
    <w:rsid w:val="0013436F"/>
    <w:rsid w:val="001415BF"/>
    <w:rsid w:val="0014314F"/>
    <w:rsid w:val="001467DD"/>
    <w:rsid w:val="00147445"/>
    <w:rsid w:val="001557E2"/>
    <w:rsid w:val="00156A2B"/>
    <w:rsid w:val="0017266C"/>
    <w:rsid w:val="0018012B"/>
    <w:rsid w:val="00183CA2"/>
    <w:rsid w:val="00190896"/>
    <w:rsid w:val="00193E7E"/>
    <w:rsid w:val="00195342"/>
    <w:rsid w:val="001A4FBC"/>
    <w:rsid w:val="001A68AF"/>
    <w:rsid w:val="001A6B3E"/>
    <w:rsid w:val="001B28DB"/>
    <w:rsid w:val="001B34AC"/>
    <w:rsid w:val="001B75F7"/>
    <w:rsid w:val="001B765C"/>
    <w:rsid w:val="001C2D6E"/>
    <w:rsid w:val="001D23B8"/>
    <w:rsid w:val="001E075F"/>
    <w:rsid w:val="001E5FBD"/>
    <w:rsid w:val="001F0020"/>
    <w:rsid w:val="001F55DB"/>
    <w:rsid w:val="001F7133"/>
    <w:rsid w:val="00203B99"/>
    <w:rsid w:val="002040A0"/>
    <w:rsid w:val="00211554"/>
    <w:rsid w:val="0021430A"/>
    <w:rsid w:val="00221C8D"/>
    <w:rsid w:val="002255EB"/>
    <w:rsid w:val="002306FB"/>
    <w:rsid w:val="0023342E"/>
    <w:rsid w:val="002438A6"/>
    <w:rsid w:val="00246BF7"/>
    <w:rsid w:val="00246F08"/>
    <w:rsid w:val="00251EA3"/>
    <w:rsid w:val="002802CA"/>
    <w:rsid w:val="002818D5"/>
    <w:rsid w:val="00284BF2"/>
    <w:rsid w:val="00295582"/>
    <w:rsid w:val="00296F0B"/>
    <w:rsid w:val="002A0DBB"/>
    <w:rsid w:val="002A3ED5"/>
    <w:rsid w:val="002A6F64"/>
    <w:rsid w:val="002B0CAF"/>
    <w:rsid w:val="002B10A9"/>
    <w:rsid w:val="002B1F6F"/>
    <w:rsid w:val="002B45D6"/>
    <w:rsid w:val="002C0897"/>
    <w:rsid w:val="002C4598"/>
    <w:rsid w:val="002D0C00"/>
    <w:rsid w:val="002D6488"/>
    <w:rsid w:val="002F1A74"/>
    <w:rsid w:val="002F2AB2"/>
    <w:rsid w:val="002F5ED0"/>
    <w:rsid w:val="002F6CA8"/>
    <w:rsid w:val="00301FCE"/>
    <w:rsid w:val="00302C6B"/>
    <w:rsid w:val="00313363"/>
    <w:rsid w:val="00314731"/>
    <w:rsid w:val="00315BEE"/>
    <w:rsid w:val="00325165"/>
    <w:rsid w:val="00335014"/>
    <w:rsid w:val="00335D71"/>
    <w:rsid w:val="00342319"/>
    <w:rsid w:val="00345217"/>
    <w:rsid w:val="00346C93"/>
    <w:rsid w:val="00350A08"/>
    <w:rsid w:val="00351AFD"/>
    <w:rsid w:val="00356D53"/>
    <w:rsid w:val="00356E8B"/>
    <w:rsid w:val="00362B4E"/>
    <w:rsid w:val="00367A38"/>
    <w:rsid w:val="00372719"/>
    <w:rsid w:val="00372838"/>
    <w:rsid w:val="00376FA3"/>
    <w:rsid w:val="003859CF"/>
    <w:rsid w:val="00391CB2"/>
    <w:rsid w:val="003925FE"/>
    <w:rsid w:val="00392643"/>
    <w:rsid w:val="0039415B"/>
    <w:rsid w:val="00396310"/>
    <w:rsid w:val="003A2789"/>
    <w:rsid w:val="003A56EE"/>
    <w:rsid w:val="003C531A"/>
    <w:rsid w:val="003C5A5C"/>
    <w:rsid w:val="003F5747"/>
    <w:rsid w:val="004008A4"/>
    <w:rsid w:val="00404493"/>
    <w:rsid w:val="0040582A"/>
    <w:rsid w:val="00406411"/>
    <w:rsid w:val="00411134"/>
    <w:rsid w:val="00413765"/>
    <w:rsid w:val="004217F6"/>
    <w:rsid w:val="004279B1"/>
    <w:rsid w:val="004305D0"/>
    <w:rsid w:val="00431249"/>
    <w:rsid w:val="00433FDC"/>
    <w:rsid w:val="004360EC"/>
    <w:rsid w:val="0043716E"/>
    <w:rsid w:val="00440D9F"/>
    <w:rsid w:val="00442CF0"/>
    <w:rsid w:val="0045633F"/>
    <w:rsid w:val="004572CC"/>
    <w:rsid w:val="0045753D"/>
    <w:rsid w:val="00470C53"/>
    <w:rsid w:val="00477F18"/>
    <w:rsid w:val="0048602F"/>
    <w:rsid w:val="00487E28"/>
    <w:rsid w:val="004A1DEA"/>
    <w:rsid w:val="004A4991"/>
    <w:rsid w:val="004B0C1B"/>
    <w:rsid w:val="004B4C62"/>
    <w:rsid w:val="004B751D"/>
    <w:rsid w:val="004B7E57"/>
    <w:rsid w:val="004B7ECE"/>
    <w:rsid w:val="004C1D0C"/>
    <w:rsid w:val="004C3CF9"/>
    <w:rsid w:val="004C4E60"/>
    <w:rsid w:val="004D768E"/>
    <w:rsid w:val="004E5512"/>
    <w:rsid w:val="004E5B60"/>
    <w:rsid w:val="004F6450"/>
    <w:rsid w:val="0050265E"/>
    <w:rsid w:val="00505B58"/>
    <w:rsid w:val="00516164"/>
    <w:rsid w:val="00533343"/>
    <w:rsid w:val="00540947"/>
    <w:rsid w:val="00554965"/>
    <w:rsid w:val="00556BA0"/>
    <w:rsid w:val="00556E0A"/>
    <w:rsid w:val="00557D8D"/>
    <w:rsid w:val="0056291E"/>
    <w:rsid w:val="00563ABA"/>
    <w:rsid w:val="00564105"/>
    <w:rsid w:val="00570683"/>
    <w:rsid w:val="00571018"/>
    <w:rsid w:val="00572C29"/>
    <w:rsid w:val="0057731C"/>
    <w:rsid w:val="00581475"/>
    <w:rsid w:val="00592E4C"/>
    <w:rsid w:val="005A347D"/>
    <w:rsid w:val="005A6B8F"/>
    <w:rsid w:val="005A70B9"/>
    <w:rsid w:val="005B0A5B"/>
    <w:rsid w:val="005B1A42"/>
    <w:rsid w:val="005B20DF"/>
    <w:rsid w:val="005B4E6C"/>
    <w:rsid w:val="005B7D9D"/>
    <w:rsid w:val="005C1D21"/>
    <w:rsid w:val="005C303D"/>
    <w:rsid w:val="005D35C5"/>
    <w:rsid w:val="005D7C28"/>
    <w:rsid w:val="00600D75"/>
    <w:rsid w:val="00604555"/>
    <w:rsid w:val="00606394"/>
    <w:rsid w:val="00610F44"/>
    <w:rsid w:val="00611BF7"/>
    <w:rsid w:val="00612448"/>
    <w:rsid w:val="0061394E"/>
    <w:rsid w:val="00643E7B"/>
    <w:rsid w:val="00656647"/>
    <w:rsid w:val="00657D12"/>
    <w:rsid w:val="00663D1E"/>
    <w:rsid w:val="00666317"/>
    <w:rsid w:val="00671CB0"/>
    <w:rsid w:val="00673D5A"/>
    <w:rsid w:val="0067413B"/>
    <w:rsid w:val="00676442"/>
    <w:rsid w:val="0068224E"/>
    <w:rsid w:val="00687E86"/>
    <w:rsid w:val="00694607"/>
    <w:rsid w:val="006A739A"/>
    <w:rsid w:val="006B3432"/>
    <w:rsid w:val="006B5839"/>
    <w:rsid w:val="006C0BD1"/>
    <w:rsid w:val="006C6353"/>
    <w:rsid w:val="006D23D7"/>
    <w:rsid w:val="006E6F12"/>
    <w:rsid w:val="006E7089"/>
    <w:rsid w:val="006E752E"/>
    <w:rsid w:val="006F115E"/>
    <w:rsid w:val="006F1F8D"/>
    <w:rsid w:val="00701166"/>
    <w:rsid w:val="00712594"/>
    <w:rsid w:val="007150E0"/>
    <w:rsid w:val="00715827"/>
    <w:rsid w:val="00715AE4"/>
    <w:rsid w:val="007177FB"/>
    <w:rsid w:val="00737725"/>
    <w:rsid w:val="0074497B"/>
    <w:rsid w:val="00750374"/>
    <w:rsid w:val="00761C26"/>
    <w:rsid w:val="00764A46"/>
    <w:rsid w:val="00791598"/>
    <w:rsid w:val="00793F7E"/>
    <w:rsid w:val="007A5313"/>
    <w:rsid w:val="007D0CCD"/>
    <w:rsid w:val="007E2A59"/>
    <w:rsid w:val="007E6D49"/>
    <w:rsid w:val="007F389C"/>
    <w:rsid w:val="007F5B1F"/>
    <w:rsid w:val="007F5D72"/>
    <w:rsid w:val="007F7246"/>
    <w:rsid w:val="007F7A92"/>
    <w:rsid w:val="007F7E19"/>
    <w:rsid w:val="00807F31"/>
    <w:rsid w:val="008100AB"/>
    <w:rsid w:val="00811F5D"/>
    <w:rsid w:val="008170AE"/>
    <w:rsid w:val="00824056"/>
    <w:rsid w:val="0082791D"/>
    <w:rsid w:val="008319D7"/>
    <w:rsid w:val="008350D2"/>
    <w:rsid w:val="00835470"/>
    <w:rsid w:val="00836D47"/>
    <w:rsid w:val="008427D6"/>
    <w:rsid w:val="008437B1"/>
    <w:rsid w:val="00850CF1"/>
    <w:rsid w:val="0085141F"/>
    <w:rsid w:val="00862E3F"/>
    <w:rsid w:val="00867CE6"/>
    <w:rsid w:val="008703B3"/>
    <w:rsid w:val="00870A76"/>
    <w:rsid w:val="00873F2B"/>
    <w:rsid w:val="00881D2F"/>
    <w:rsid w:val="008865AE"/>
    <w:rsid w:val="008A28E4"/>
    <w:rsid w:val="008A3291"/>
    <w:rsid w:val="008A6E08"/>
    <w:rsid w:val="008B3AAA"/>
    <w:rsid w:val="008C3FAB"/>
    <w:rsid w:val="008D3199"/>
    <w:rsid w:val="008E0741"/>
    <w:rsid w:val="008E7478"/>
    <w:rsid w:val="008F0B2B"/>
    <w:rsid w:val="008F1286"/>
    <w:rsid w:val="008F4A3F"/>
    <w:rsid w:val="008F59F4"/>
    <w:rsid w:val="008F65E4"/>
    <w:rsid w:val="00902552"/>
    <w:rsid w:val="00906F28"/>
    <w:rsid w:val="00916451"/>
    <w:rsid w:val="00916F2E"/>
    <w:rsid w:val="009345B2"/>
    <w:rsid w:val="00940523"/>
    <w:rsid w:val="009437D8"/>
    <w:rsid w:val="0094383E"/>
    <w:rsid w:val="00947E3D"/>
    <w:rsid w:val="0095183F"/>
    <w:rsid w:val="00962E81"/>
    <w:rsid w:val="00963792"/>
    <w:rsid w:val="009812C0"/>
    <w:rsid w:val="009834C1"/>
    <w:rsid w:val="009841A1"/>
    <w:rsid w:val="00990AE9"/>
    <w:rsid w:val="009A198C"/>
    <w:rsid w:val="009A4A70"/>
    <w:rsid w:val="009B3349"/>
    <w:rsid w:val="009B5F6A"/>
    <w:rsid w:val="009C1263"/>
    <w:rsid w:val="009C6841"/>
    <w:rsid w:val="009D24E7"/>
    <w:rsid w:val="009D3976"/>
    <w:rsid w:val="009D3B1A"/>
    <w:rsid w:val="009D3E71"/>
    <w:rsid w:val="009E3382"/>
    <w:rsid w:val="009E466C"/>
    <w:rsid w:val="009E7E81"/>
    <w:rsid w:val="009F761E"/>
    <w:rsid w:val="009F7D7C"/>
    <w:rsid w:val="00A05965"/>
    <w:rsid w:val="00A158C3"/>
    <w:rsid w:val="00A21A7B"/>
    <w:rsid w:val="00A233E0"/>
    <w:rsid w:val="00A23C24"/>
    <w:rsid w:val="00A244C5"/>
    <w:rsid w:val="00A26A17"/>
    <w:rsid w:val="00A32734"/>
    <w:rsid w:val="00A3321D"/>
    <w:rsid w:val="00A35E87"/>
    <w:rsid w:val="00A433E3"/>
    <w:rsid w:val="00A52F08"/>
    <w:rsid w:val="00A55D1D"/>
    <w:rsid w:val="00A56DA2"/>
    <w:rsid w:val="00A57303"/>
    <w:rsid w:val="00A57887"/>
    <w:rsid w:val="00A62DD2"/>
    <w:rsid w:val="00A63454"/>
    <w:rsid w:val="00A639B5"/>
    <w:rsid w:val="00A64356"/>
    <w:rsid w:val="00A660B3"/>
    <w:rsid w:val="00A66C83"/>
    <w:rsid w:val="00A66CFA"/>
    <w:rsid w:val="00A72EB9"/>
    <w:rsid w:val="00A7400E"/>
    <w:rsid w:val="00A76356"/>
    <w:rsid w:val="00A80BF2"/>
    <w:rsid w:val="00A80DA8"/>
    <w:rsid w:val="00A9711F"/>
    <w:rsid w:val="00AA1000"/>
    <w:rsid w:val="00AA5D5F"/>
    <w:rsid w:val="00AA7154"/>
    <w:rsid w:val="00AB3F35"/>
    <w:rsid w:val="00AB4C03"/>
    <w:rsid w:val="00AB7EF2"/>
    <w:rsid w:val="00AC14FE"/>
    <w:rsid w:val="00AC523D"/>
    <w:rsid w:val="00AD4FC8"/>
    <w:rsid w:val="00AD55D6"/>
    <w:rsid w:val="00AF039E"/>
    <w:rsid w:val="00AF2E5B"/>
    <w:rsid w:val="00AF52B0"/>
    <w:rsid w:val="00B00050"/>
    <w:rsid w:val="00B00E2D"/>
    <w:rsid w:val="00B00F7C"/>
    <w:rsid w:val="00B0106B"/>
    <w:rsid w:val="00B03274"/>
    <w:rsid w:val="00B10FC7"/>
    <w:rsid w:val="00B14ADA"/>
    <w:rsid w:val="00B170DC"/>
    <w:rsid w:val="00B2150A"/>
    <w:rsid w:val="00B266E6"/>
    <w:rsid w:val="00B30826"/>
    <w:rsid w:val="00B3100D"/>
    <w:rsid w:val="00B32093"/>
    <w:rsid w:val="00B32612"/>
    <w:rsid w:val="00B32908"/>
    <w:rsid w:val="00B32E23"/>
    <w:rsid w:val="00B42B38"/>
    <w:rsid w:val="00B44B78"/>
    <w:rsid w:val="00B515D5"/>
    <w:rsid w:val="00B67013"/>
    <w:rsid w:val="00B73AC2"/>
    <w:rsid w:val="00B7446D"/>
    <w:rsid w:val="00B8219C"/>
    <w:rsid w:val="00B87D71"/>
    <w:rsid w:val="00B921CF"/>
    <w:rsid w:val="00B945E9"/>
    <w:rsid w:val="00BB0BD4"/>
    <w:rsid w:val="00BB13FE"/>
    <w:rsid w:val="00BB1E36"/>
    <w:rsid w:val="00BC6D09"/>
    <w:rsid w:val="00BD4E6C"/>
    <w:rsid w:val="00BD7C59"/>
    <w:rsid w:val="00BE6737"/>
    <w:rsid w:val="00BF4F47"/>
    <w:rsid w:val="00C037B9"/>
    <w:rsid w:val="00C0789A"/>
    <w:rsid w:val="00C10B1B"/>
    <w:rsid w:val="00C21946"/>
    <w:rsid w:val="00C22A33"/>
    <w:rsid w:val="00C24054"/>
    <w:rsid w:val="00C418BF"/>
    <w:rsid w:val="00C42BB1"/>
    <w:rsid w:val="00C52620"/>
    <w:rsid w:val="00C56AE2"/>
    <w:rsid w:val="00C57A7D"/>
    <w:rsid w:val="00C636FD"/>
    <w:rsid w:val="00C63A33"/>
    <w:rsid w:val="00C77200"/>
    <w:rsid w:val="00C93AB8"/>
    <w:rsid w:val="00C9782E"/>
    <w:rsid w:val="00CA728F"/>
    <w:rsid w:val="00CB73AF"/>
    <w:rsid w:val="00CD114E"/>
    <w:rsid w:val="00CD7396"/>
    <w:rsid w:val="00CE1E85"/>
    <w:rsid w:val="00CE48B5"/>
    <w:rsid w:val="00D03047"/>
    <w:rsid w:val="00D20AE0"/>
    <w:rsid w:val="00D34F30"/>
    <w:rsid w:val="00D36D5D"/>
    <w:rsid w:val="00D3738F"/>
    <w:rsid w:val="00D41618"/>
    <w:rsid w:val="00D42216"/>
    <w:rsid w:val="00D423BA"/>
    <w:rsid w:val="00D428E3"/>
    <w:rsid w:val="00D4387A"/>
    <w:rsid w:val="00D4563C"/>
    <w:rsid w:val="00D45EB1"/>
    <w:rsid w:val="00D470ED"/>
    <w:rsid w:val="00D5554E"/>
    <w:rsid w:val="00D60FB6"/>
    <w:rsid w:val="00D62092"/>
    <w:rsid w:val="00D64DE6"/>
    <w:rsid w:val="00D746BE"/>
    <w:rsid w:val="00D8339A"/>
    <w:rsid w:val="00D876D7"/>
    <w:rsid w:val="00D908A2"/>
    <w:rsid w:val="00D977BA"/>
    <w:rsid w:val="00DA04E5"/>
    <w:rsid w:val="00DA41C0"/>
    <w:rsid w:val="00DB046D"/>
    <w:rsid w:val="00DB30A0"/>
    <w:rsid w:val="00DB7C6B"/>
    <w:rsid w:val="00DC0D9F"/>
    <w:rsid w:val="00DC22F6"/>
    <w:rsid w:val="00DC4AB6"/>
    <w:rsid w:val="00DD4B15"/>
    <w:rsid w:val="00DD4E50"/>
    <w:rsid w:val="00DD5133"/>
    <w:rsid w:val="00DD7569"/>
    <w:rsid w:val="00E039D3"/>
    <w:rsid w:val="00E057DC"/>
    <w:rsid w:val="00E1135B"/>
    <w:rsid w:val="00E235A2"/>
    <w:rsid w:val="00E27C2A"/>
    <w:rsid w:val="00E32715"/>
    <w:rsid w:val="00E36910"/>
    <w:rsid w:val="00E50B62"/>
    <w:rsid w:val="00E5770B"/>
    <w:rsid w:val="00E65A38"/>
    <w:rsid w:val="00E66B1C"/>
    <w:rsid w:val="00E7174C"/>
    <w:rsid w:val="00E7350F"/>
    <w:rsid w:val="00E749BE"/>
    <w:rsid w:val="00E7543C"/>
    <w:rsid w:val="00E81740"/>
    <w:rsid w:val="00E82F67"/>
    <w:rsid w:val="00E82FB4"/>
    <w:rsid w:val="00E83463"/>
    <w:rsid w:val="00E859BA"/>
    <w:rsid w:val="00E87591"/>
    <w:rsid w:val="00E923C5"/>
    <w:rsid w:val="00E95775"/>
    <w:rsid w:val="00E967D9"/>
    <w:rsid w:val="00EA023C"/>
    <w:rsid w:val="00EB27DB"/>
    <w:rsid w:val="00EB5203"/>
    <w:rsid w:val="00EC1F8F"/>
    <w:rsid w:val="00ED33C1"/>
    <w:rsid w:val="00EE24FD"/>
    <w:rsid w:val="00EE56DE"/>
    <w:rsid w:val="00EF363F"/>
    <w:rsid w:val="00EF4E9D"/>
    <w:rsid w:val="00EF67C0"/>
    <w:rsid w:val="00EF7B55"/>
    <w:rsid w:val="00F01377"/>
    <w:rsid w:val="00F054E6"/>
    <w:rsid w:val="00F118E9"/>
    <w:rsid w:val="00F2741B"/>
    <w:rsid w:val="00F31BD9"/>
    <w:rsid w:val="00F344B8"/>
    <w:rsid w:val="00F40B98"/>
    <w:rsid w:val="00F44335"/>
    <w:rsid w:val="00F44F97"/>
    <w:rsid w:val="00F45956"/>
    <w:rsid w:val="00F51B28"/>
    <w:rsid w:val="00F6537A"/>
    <w:rsid w:val="00F725D1"/>
    <w:rsid w:val="00F7343A"/>
    <w:rsid w:val="00FA01AB"/>
    <w:rsid w:val="00FA7FC1"/>
    <w:rsid w:val="00FB0352"/>
    <w:rsid w:val="00FB0618"/>
    <w:rsid w:val="00FB616A"/>
    <w:rsid w:val="00FC3454"/>
    <w:rsid w:val="00FC4449"/>
    <w:rsid w:val="00FC5C64"/>
    <w:rsid w:val="00FD029D"/>
    <w:rsid w:val="00FD1EE3"/>
    <w:rsid w:val="00FD2E75"/>
    <w:rsid w:val="00FE5A26"/>
    <w:rsid w:val="00FF2321"/>
    <w:rsid w:val="00FF2F45"/>
    <w:rsid w:val="00FF2F48"/>
    <w:rsid w:val="00FF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7D71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C63A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63A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63A33"/>
    <w:pPr>
      <w:keepNext/>
      <w:tabs>
        <w:tab w:val="left" w:pos="2790"/>
        <w:tab w:val="left" w:pos="2835"/>
        <w:tab w:val="left" w:pos="3402"/>
        <w:tab w:val="left" w:pos="3686"/>
        <w:tab w:val="left" w:pos="3969"/>
      </w:tabs>
      <w:jc w:val="both"/>
      <w:outlineLvl w:val="2"/>
    </w:pPr>
    <w:rPr>
      <w:b/>
      <w:sz w:val="20"/>
      <w:szCs w:val="20"/>
      <w:lang w:eastAsia="en-US"/>
    </w:rPr>
  </w:style>
  <w:style w:type="paragraph" w:styleId="Heading4">
    <w:name w:val="heading 4"/>
    <w:basedOn w:val="Normal"/>
    <w:next w:val="Normal"/>
    <w:qFormat/>
    <w:rsid w:val="00C63A33"/>
    <w:pPr>
      <w:keepNext/>
      <w:jc w:val="center"/>
      <w:outlineLvl w:val="3"/>
    </w:pPr>
    <w:rPr>
      <w:b/>
      <w:bCs/>
      <w:sz w:val="20"/>
      <w:szCs w:val="20"/>
      <w:lang w:eastAsia="en-US"/>
    </w:rPr>
  </w:style>
  <w:style w:type="paragraph" w:styleId="Heading5">
    <w:name w:val="heading 5"/>
    <w:basedOn w:val="Normal"/>
    <w:next w:val="Normal"/>
    <w:qFormat/>
    <w:rsid w:val="00C63A33"/>
    <w:pPr>
      <w:keepNext/>
      <w:snapToGrid w:val="0"/>
      <w:outlineLvl w:val="4"/>
    </w:pPr>
    <w:rPr>
      <w:rFonts w:eastAsia="Arial Unicode MS"/>
      <w:b/>
      <w:color w:val="000000"/>
      <w:sz w:val="20"/>
      <w:szCs w:val="20"/>
      <w:lang w:val="en-AU" w:eastAsia="en-US"/>
    </w:rPr>
  </w:style>
  <w:style w:type="paragraph" w:styleId="Heading6">
    <w:name w:val="heading 6"/>
    <w:basedOn w:val="Normal"/>
    <w:next w:val="Normal"/>
    <w:qFormat/>
    <w:rsid w:val="00104C09"/>
    <w:pPr>
      <w:keepNext/>
      <w:widowControl w:val="0"/>
      <w:tabs>
        <w:tab w:val="left" w:pos="-1134"/>
        <w:tab w:val="left" w:pos="-720"/>
        <w:tab w:val="left" w:pos="709"/>
      </w:tabs>
      <w:ind w:left="709" w:hanging="709"/>
      <w:jc w:val="both"/>
      <w:outlineLvl w:val="5"/>
    </w:pPr>
    <w:rPr>
      <w:b/>
      <w:sz w:val="22"/>
      <w:szCs w:val="20"/>
      <w:lang w:eastAsia="en-US"/>
    </w:rPr>
  </w:style>
  <w:style w:type="paragraph" w:styleId="Heading7">
    <w:name w:val="heading 7"/>
    <w:basedOn w:val="Normal"/>
    <w:next w:val="Normal"/>
    <w:qFormat/>
    <w:rsid w:val="00104C09"/>
    <w:pPr>
      <w:keepNext/>
      <w:tabs>
        <w:tab w:val="left" w:pos="3402"/>
        <w:tab w:val="left" w:pos="3969"/>
      </w:tabs>
      <w:ind w:left="3402" w:hanging="3402"/>
      <w:jc w:val="both"/>
      <w:outlineLvl w:val="6"/>
    </w:pPr>
    <w:rPr>
      <w:b/>
      <w:sz w:val="20"/>
      <w:szCs w:val="20"/>
      <w:lang w:eastAsia="en-US"/>
    </w:rPr>
  </w:style>
  <w:style w:type="paragraph" w:styleId="Heading8">
    <w:name w:val="heading 8"/>
    <w:basedOn w:val="Normal"/>
    <w:next w:val="Normal"/>
    <w:qFormat/>
    <w:rsid w:val="00104C09"/>
    <w:pPr>
      <w:keepNext/>
      <w:tabs>
        <w:tab w:val="left" w:pos="2790"/>
        <w:tab w:val="left" w:pos="2835"/>
        <w:tab w:val="left" w:pos="3402"/>
        <w:tab w:val="left" w:pos="3969"/>
        <w:tab w:val="left" w:pos="4820"/>
      </w:tabs>
      <w:ind w:left="3402" w:hanging="3402"/>
      <w:outlineLvl w:val="7"/>
    </w:pPr>
    <w:rPr>
      <w:b/>
      <w:sz w:val="20"/>
      <w:szCs w:val="20"/>
      <w:lang w:eastAsia="en-US"/>
    </w:rPr>
  </w:style>
  <w:style w:type="paragraph" w:styleId="Heading9">
    <w:name w:val="heading 9"/>
    <w:basedOn w:val="Normal"/>
    <w:next w:val="Normal"/>
    <w:qFormat/>
    <w:rsid w:val="00104C09"/>
    <w:pPr>
      <w:keepNext/>
      <w:tabs>
        <w:tab w:val="left" w:pos="709"/>
        <w:tab w:val="left" w:pos="3119"/>
        <w:tab w:val="left" w:pos="3686"/>
        <w:tab w:val="left" w:pos="3969"/>
      </w:tabs>
      <w:ind w:left="709" w:hanging="709"/>
      <w:jc w:val="both"/>
      <w:outlineLvl w:val="8"/>
    </w:pPr>
    <w:rPr>
      <w:b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A3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63A33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C63A33"/>
    <w:pPr>
      <w:autoSpaceDE w:val="0"/>
      <w:autoSpaceDN w:val="0"/>
      <w:adjustRightInd w:val="0"/>
    </w:pPr>
    <w:rPr>
      <w:rFonts w:ascii="Arial" w:hAnsi="Arial" w:cs="Arial"/>
      <w:szCs w:val="17"/>
      <w:lang w:val="en-US" w:eastAsia="en-US"/>
    </w:rPr>
  </w:style>
  <w:style w:type="character" w:styleId="PageNumber">
    <w:name w:val="page number"/>
    <w:basedOn w:val="DefaultParagraphFont"/>
    <w:rsid w:val="00C63A33"/>
  </w:style>
  <w:style w:type="paragraph" w:styleId="BodyText">
    <w:name w:val="Body Text"/>
    <w:basedOn w:val="Normal"/>
    <w:rsid w:val="00C63A33"/>
    <w:pPr>
      <w:spacing w:after="120"/>
    </w:pPr>
  </w:style>
  <w:style w:type="paragraph" w:styleId="FootnoteText">
    <w:name w:val="footnote text"/>
    <w:basedOn w:val="Normal"/>
    <w:semiHidden/>
    <w:rsid w:val="00C63A33"/>
    <w:rPr>
      <w:sz w:val="20"/>
      <w:szCs w:val="20"/>
      <w:lang w:eastAsia="en-US"/>
    </w:rPr>
  </w:style>
  <w:style w:type="paragraph" w:styleId="PlainText">
    <w:name w:val="Plain Text"/>
    <w:basedOn w:val="Normal"/>
    <w:rsid w:val="00C63A33"/>
    <w:rPr>
      <w:rFonts w:ascii="Courier New" w:hAnsi="Courier New"/>
      <w:snapToGrid w:val="0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C63A33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C63A33"/>
    <w:rPr>
      <w:rFonts w:ascii="Arial" w:hAnsi="Arial" w:cs="Arial"/>
      <w:b/>
      <w:bCs/>
      <w:sz w:val="20"/>
      <w:szCs w:val="20"/>
      <w:lang w:eastAsia="en-US"/>
    </w:rPr>
  </w:style>
  <w:style w:type="character" w:styleId="CommentReference">
    <w:name w:val="annotation reference"/>
    <w:basedOn w:val="DefaultParagraphFont"/>
    <w:semiHidden/>
    <w:rsid w:val="00C63A33"/>
    <w:rPr>
      <w:sz w:val="16"/>
      <w:szCs w:val="16"/>
    </w:rPr>
  </w:style>
  <w:style w:type="paragraph" w:styleId="CommentText">
    <w:name w:val="annotation text"/>
    <w:basedOn w:val="Normal"/>
    <w:semiHidden/>
    <w:rsid w:val="00C63A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63A33"/>
    <w:rPr>
      <w:b/>
      <w:bCs/>
    </w:rPr>
  </w:style>
  <w:style w:type="paragraph" w:styleId="BalloonText">
    <w:name w:val="Balloon Text"/>
    <w:basedOn w:val="Normal"/>
    <w:semiHidden/>
    <w:rsid w:val="00C63A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63A33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C63A33"/>
  </w:style>
  <w:style w:type="paragraph" w:styleId="EndnoteText">
    <w:name w:val="endnote text"/>
    <w:basedOn w:val="Normal"/>
    <w:semiHidden/>
    <w:rsid w:val="00C63A3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C63A33"/>
    <w:rPr>
      <w:vertAlign w:val="superscript"/>
    </w:rPr>
  </w:style>
  <w:style w:type="paragraph" w:styleId="BlockText">
    <w:name w:val="Block Text"/>
    <w:basedOn w:val="Normal"/>
    <w:rsid w:val="00C63A33"/>
    <w:pPr>
      <w:tabs>
        <w:tab w:val="left" w:pos="3402"/>
        <w:tab w:val="left" w:pos="3969"/>
        <w:tab w:val="left" w:pos="4820"/>
      </w:tabs>
      <w:ind w:left="2160" w:right="2129"/>
      <w:jc w:val="both"/>
    </w:pPr>
    <w:rPr>
      <w:b/>
      <w:szCs w:val="20"/>
      <w:lang w:eastAsia="en-US"/>
    </w:rPr>
  </w:style>
  <w:style w:type="character" w:styleId="FollowedHyperlink">
    <w:name w:val="FollowedHyperlink"/>
    <w:basedOn w:val="DefaultParagraphFont"/>
    <w:rsid w:val="00C63A33"/>
    <w:rPr>
      <w:color w:val="800080"/>
      <w:u w:val="single"/>
    </w:rPr>
  </w:style>
  <w:style w:type="paragraph" w:styleId="BodyText2">
    <w:name w:val="Body Text 2"/>
    <w:basedOn w:val="Normal"/>
    <w:rsid w:val="00C63A33"/>
    <w:pPr>
      <w:tabs>
        <w:tab w:val="left" w:pos="3402"/>
        <w:tab w:val="left" w:pos="3969"/>
        <w:tab w:val="left" w:pos="4820"/>
        <w:tab w:val="left" w:pos="7513"/>
      </w:tabs>
      <w:jc w:val="both"/>
    </w:pPr>
    <w:rPr>
      <w:sz w:val="22"/>
      <w:szCs w:val="20"/>
      <w:lang w:eastAsia="en-US"/>
    </w:rPr>
  </w:style>
  <w:style w:type="paragraph" w:customStyle="1" w:styleId="xl26">
    <w:name w:val="xl26"/>
    <w:basedOn w:val="Normal"/>
    <w:rsid w:val="00C63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styleId="BodyTextIndent">
    <w:name w:val="Body Text Indent"/>
    <w:basedOn w:val="Normal"/>
    <w:rsid w:val="00C63A33"/>
    <w:pPr>
      <w:tabs>
        <w:tab w:val="left" w:pos="1260"/>
        <w:tab w:val="left" w:pos="3119"/>
        <w:tab w:val="left" w:pos="3686"/>
        <w:tab w:val="left" w:pos="3969"/>
      </w:tabs>
      <w:ind w:left="709" w:hanging="709"/>
      <w:jc w:val="both"/>
    </w:pPr>
    <w:rPr>
      <w:b/>
      <w:sz w:val="20"/>
      <w:szCs w:val="20"/>
      <w:lang w:eastAsia="en-US"/>
    </w:rPr>
  </w:style>
  <w:style w:type="paragraph" w:styleId="BodyTextIndent2">
    <w:name w:val="Body Text Indent 2"/>
    <w:basedOn w:val="Normal"/>
    <w:rsid w:val="00104C09"/>
    <w:pPr>
      <w:tabs>
        <w:tab w:val="left" w:pos="2835"/>
        <w:tab w:val="left" w:pos="3402"/>
        <w:tab w:val="left" w:pos="3686"/>
        <w:tab w:val="left" w:pos="4820"/>
      </w:tabs>
      <w:ind w:left="3686" w:hanging="3686"/>
      <w:jc w:val="both"/>
    </w:pPr>
    <w:rPr>
      <w:sz w:val="20"/>
      <w:szCs w:val="20"/>
      <w:lang w:eastAsia="en-US"/>
    </w:rPr>
  </w:style>
  <w:style w:type="paragraph" w:styleId="BodyTextIndent3">
    <w:name w:val="Body Text Indent 3"/>
    <w:basedOn w:val="Normal"/>
    <w:rsid w:val="00104C09"/>
    <w:pPr>
      <w:tabs>
        <w:tab w:val="left" w:pos="2790"/>
        <w:tab w:val="left" w:pos="3402"/>
        <w:tab w:val="left" w:pos="3686"/>
        <w:tab w:val="left" w:pos="3969"/>
      </w:tabs>
      <w:ind w:left="3402" w:hanging="3402"/>
      <w:jc w:val="both"/>
    </w:pPr>
    <w:rPr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33343"/>
    <w:rPr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Statistical release</vt:lpstr>
    </vt:vector>
  </TitlesOfParts>
  <Company>Hewlett-Packard Company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release</dc:title>
  <dc:subject>Test</dc:subject>
  <dc:creator>MartinVA</dc:creator>
  <cp:keywords>[Insert release number]</cp:keywords>
  <cp:lastModifiedBy>francoise</cp:lastModifiedBy>
  <cp:revision>2</cp:revision>
  <cp:lastPrinted>2012-10-08T08:34:00Z</cp:lastPrinted>
  <dcterms:created xsi:type="dcterms:W3CDTF">2012-10-08T08:40:00Z</dcterms:created>
  <dcterms:modified xsi:type="dcterms:W3CDTF">2012-10-08T08:40:00Z</dcterms:modified>
</cp:coreProperties>
</file>